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8939" w14:textId="77777777" w:rsidR="00985209" w:rsidRPr="004223BA" w:rsidRDefault="001A4F3C">
      <w:pPr>
        <w:spacing w:before="1200" w:after="120"/>
        <w:jc w:val="center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  <w:sz w:val="40"/>
          <w:szCs w:val="40"/>
        </w:rPr>
        <w:t>Estimated Glomerular Filtration Rate (eGFR) Slope</w:t>
      </w:r>
    </w:p>
    <w:p w14:paraId="08A0311E" w14:textId="4E39BB55" w:rsidR="00985209" w:rsidRPr="004223BA" w:rsidRDefault="001A4F3C">
      <w:pPr>
        <w:spacing w:after="120"/>
        <w:jc w:val="center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  <w:sz w:val="32"/>
          <w:szCs w:val="32"/>
        </w:rPr>
        <w:t xml:space="preserve">Renal Function Trajectory Electronic Phenotype </w:t>
      </w:r>
      <w:r w:rsidR="00005BAD">
        <w:rPr>
          <w:rFonts w:ascii="Century Schoolbook" w:hAnsi="Century Schoolbook"/>
          <w:b/>
          <w:bCs/>
          <w:sz w:val="32"/>
          <w:szCs w:val="32"/>
        </w:rPr>
        <w:t xml:space="preserve">(e-Phenotype) </w:t>
      </w:r>
      <w:r w:rsidRPr="004223BA">
        <w:rPr>
          <w:rFonts w:ascii="Century Schoolbook" w:hAnsi="Century Schoolbook"/>
          <w:b/>
          <w:bCs/>
          <w:sz w:val="32"/>
          <w:szCs w:val="32"/>
        </w:rPr>
        <w:t>Algorithm</w:t>
      </w:r>
    </w:p>
    <w:p w14:paraId="04890479" w14:textId="6DEC1A0E" w:rsidR="00985209" w:rsidRPr="004223BA" w:rsidRDefault="001A4F3C">
      <w:pPr>
        <w:spacing w:after="600"/>
        <w:jc w:val="center"/>
        <w:rPr>
          <w:rFonts w:ascii="Century Schoolbook" w:hAnsi="Century Schoolbook"/>
        </w:rPr>
      </w:pPr>
      <w:r w:rsidRPr="004223BA">
        <w:rPr>
          <w:rFonts w:ascii="Century Schoolbook" w:hAnsi="Century Schoolbook"/>
          <w:i/>
          <w:iCs/>
          <w:sz w:val="28"/>
          <w:szCs w:val="28"/>
        </w:rPr>
        <w:t>Documentation and Pseudo Code</w:t>
      </w:r>
      <w:r w:rsidR="0037332C" w:rsidRPr="004223BA">
        <w:rPr>
          <w:rFonts w:ascii="Century Schoolbook" w:hAnsi="Century Schoolbook"/>
          <w:i/>
          <w:iCs/>
          <w:sz w:val="28"/>
          <w:szCs w:val="28"/>
        </w:rPr>
        <w:t xml:space="preserve"> V4B</w:t>
      </w:r>
    </w:p>
    <w:p w14:paraId="177D4EC1" w14:textId="77777777" w:rsidR="00985209" w:rsidRPr="004223BA" w:rsidRDefault="001A4F3C">
      <w:pPr>
        <w:spacing w:after="60"/>
        <w:jc w:val="center"/>
        <w:rPr>
          <w:rFonts w:ascii="Century Schoolbook" w:hAnsi="Century Schoolbook"/>
        </w:rPr>
      </w:pPr>
      <w:r w:rsidRPr="004223BA">
        <w:rPr>
          <w:rFonts w:ascii="Century Schoolbook" w:hAnsi="Century Schoolbook"/>
          <w:sz w:val="26"/>
          <w:szCs w:val="26"/>
        </w:rPr>
        <w:t>Columbia University</w:t>
      </w:r>
    </w:p>
    <w:p w14:paraId="50C28643" w14:textId="50FE4E40" w:rsidR="00985209" w:rsidRPr="004223BA" w:rsidRDefault="001A4F3C">
      <w:pPr>
        <w:spacing w:after="600"/>
        <w:jc w:val="center"/>
        <w:rPr>
          <w:rFonts w:ascii="Century Schoolbook" w:hAnsi="Century Schoolbook"/>
        </w:rPr>
      </w:pPr>
      <w:proofErr w:type="spellStart"/>
      <w:r w:rsidRPr="004223BA">
        <w:rPr>
          <w:rFonts w:ascii="Century Schoolbook" w:hAnsi="Century Schoolbook"/>
          <w:color w:val="1155CC"/>
        </w:rPr>
        <w:t>PheKB</w:t>
      </w:r>
      <w:proofErr w:type="spellEnd"/>
      <w:r w:rsidRPr="004223BA">
        <w:rPr>
          <w:rFonts w:ascii="Century Schoolbook" w:hAnsi="Century Schoolbook"/>
          <w:color w:val="1155CC"/>
        </w:rPr>
        <w:t>: https://phekb.org/phenotype/egfr-slope</w:t>
      </w:r>
      <w:r w:rsidR="006A659F">
        <w:rPr>
          <w:rFonts w:ascii="Century Schoolbook" w:hAnsi="Century Schoolbook"/>
          <w:color w:val="1155CC"/>
        </w:rPr>
        <w:t xml:space="preserve"> </w:t>
      </w:r>
    </w:p>
    <w:p w14:paraId="51A5A12A" w14:textId="77777777" w:rsidR="00985209" w:rsidRPr="004223BA" w:rsidRDefault="001A4F3C">
      <w:pPr>
        <w:spacing w:after="60"/>
        <w:jc w:val="center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  <w:sz w:val="24"/>
          <w:szCs w:val="24"/>
        </w:rPr>
        <w:t>Contacts:</w:t>
      </w:r>
    </w:p>
    <w:p w14:paraId="3C25B2BD" w14:textId="77777777" w:rsidR="0037332C" w:rsidRPr="004223BA" w:rsidRDefault="0037332C" w:rsidP="0037332C">
      <w:pPr>
        <w:spacing w:after="40"/>
        <w:jc w:val="center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Ning “Sunny” Shang (ns3026@cumc.columbia.edu)</w:t>
      </w:r>
    </w:p>
    <w:p w14:paraId="5A24A684" w14:textId="55795448" w:rsidR="00985209" w:rsidRPr="004223BA" w:rsidRDefault="001A4F3C">
      <w:pPr>
        <w:spacing w:after="40"/>
        <w:jc w:val="center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Atlas Khan (ak4046@cumc.columbia.edu)</w:t>
      </w:r>
    </w:p>
    <w:p w14:paraId="40B96A0D" w14:textId="77777777" w:rsidR="00985209" w:rsidRPr="004223BA" w:rsidRDefault="001A4F3C">
      <w:pPr>
        <w:spacing w:after="40"/>
        <w:jc w:val="center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Krzysztof </w:t>
      </w:r>
      <w:proofErr w:type="spellStart"/>
      <w:r w:rsidRPr="004223BA">
        <w:rPr>
          <w:rFonts w:ascii="Century Schoolbook" w:hAnsi="Century Schoolbook"/>
        </w:rPr>
        <w:t>Kiryluk</w:t>
      </w:r>
      <w:proofErr w:type="spellEnd"/>
      <w:r w:rsidRPr="004223BA">
        <w:rPr>
          <w:rFonts w:ascii="Century Schoolbook" w:hAnsi="Century Schoolbook"/>
        </w:rPr>
        <w:t xml:space="preserve"> (kk473@cumc.columbia.edu)</w:t>
      </w:r>
    </w:p>
    <w:p w14:paraId="6DDFDC03" w14:textId="77777777" w:rsidR="00985209" w:rsidRPr="004223BA" w:rsidRDefault="001A4F3C">
      <w:pPr>
        <w:pStyle w:val="Heading1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I. Background and Significance</w:t>
      </w:r>
    </w:p>
    <w:p w14:paraId="40085CF8" w14:textId="1A71FDBF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Chronic kidney disease (CKD) is a progressive condition affecting an estimated 10</w:t>
      </w:r>
      <w:r w:rsidR="004223BA" w:rsidRPr="004223BA">
        <w:rPr>
          <w:rFonts w:ascii="Century Schoolbook" w:hAnsi="Century Schoolbook"/>
        </w:rPr>
        <w:t>-</w:t>
      </w:r>
      <w:r w:rsidRPr="004223BA">
        <w:rPr>
          <w:rFonts w:ascii="Century Schoolbook" w:hAnsi="Century Schoolbook"/>
        </w:rPr>
        <w:t xml:space="preserve">15% of the global population, and it is a major cause of morbidity and mortality worldwide [1]. Disease severity is conventionally graded by the estimated glomerular filtration rate (eGFR), which is widely accepted as the best overall index of kidney function [4]. Most prior epidemiologic and genetic studies of kidney function have relied </w:t>
      </w:r>
      <w:r w:rsidRPr="00A0160D">
        <w:rPr>
          <w:rFonts w:ascii="Century Schoolbook" w:hAnsi="Century Schoolbook"/>
        </w:rPr>
        <w:t xml:space="preserve">on a single time-point </w:t>
      </w:r>
      <w:r w:rsidRPr="004223BA">
        <w:rPr>
          <w:rFonts w:ascii="Century Schoolbook" w:hAnsi="Century Schoolbook"/>
        </w:rPr>
        <w:t>eGFR. A single cross-sectional eGFR, however, is prone to confounding by age, sex, genetic ancestry, and muscle mass, and may not accurately reflect kidney function under transient physiologic states [1].</w:t>
      </w:r>
    </w:p>
    <w:p w14:paraId="1BE375EE" w14:textId="31508159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5C61D1">
        <w:rPr>
          <w:rFonts w:ascii="Century Schoolbook" w:hAnsi="Century Schoolbook"/>
        </w:rPr>
        <w:t xml:space="preserve">eGFR slope </w:t>
      </w:r>
      <w:r w:rsidR="005C61D1" w:rsidRPr="005C61D1">
        <w:rPr>
          <w:rFonts w:ascii="Century Schoolbook" w:hAnsi="Century Schoolbook"/>
        </w:rPr>
        <w:t>--</w:t>
      </w:r>
      <w:r w:rsidRPr="005C61D1">
        <w:rPr>
          <w:rFonts w:ascii="Century Schoolbook" w:hAnsi="Century Schoolbook"/>
        </w:rPr>
        <w:t xml:space="preserve"> </w:t>
      </w:r>
      <w:r w:rsidR="005C61D1" w:rsidRPr="005C61D1">
        <w:rPr>
          <w:rFonts w:ascii="Century Schoolbook" w:hAnsi="Century Schoolbook"/>
        </w:rPr>
        <w:t>the rate of change in eGFR over time --</w:t>
      </w:r>
      <w:r w:rsidRPr="005C61D1">
        <w:rPr>
          <w:rFonts w:ascii="Century Schoolbook" w:hAnsi="Century Schoolbook"/>
        </w:rPr>
        <w:t xml:space="preserve"> captures the longitudinal trajectory</w:t>
      </w:r>
      <w:r w:rsidRPr="004223BA">
        <w:rPr>
          <w:rFonts w:ascii="Century Schoolbook" w:hAnsi="Century Schoolbook"/>
        </w:rPr>
        <w:t xml:space="preserve"> of kidney function rather than a single snapshot. The rate of eGFR decline is a clinically meaningful marker of CKD progression and is strongly associated with the risk of end-stage kidney disease (ESKD) and mortality [5,6]. </w:t>
      </w:r>
      <w:r w:rsidR="005C61D1">
        <w:rPr>
          <w:rFonts w:ascii="Century Schoolbook" w:hAnsi="Century Schoolbook"/>
        </w:rPr>
        <w:t>T</w:t>
      </w:r>
      <w:r w:rsidRPr="004223BA">
        <w:rPr>
          <w:rFonts w:ascii="Century Schoolbook" w:hAnsi="Century Schoolbook"/>
        </w:rPr>
        <w:t>he decline in eGFR has emerged as a more robust predictor of kidney dysfunction than albuminuria alone, and distinct eGFR-decline trajectories have been linked to ESKD and death in patients with type 1 and type 2 diabetes [5].</w:t>
      </w:r>
    </w:p>
    <w:p w14:paraId="002FEB27" w14:textId="77777777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From a genetics standpoint, a longitudinal phenotype of renal function decline may capture CKD risk that cross-sectional analyses miss, since partly distinct genetic and </w:t>
      </w:r>
      <w:r w:rsidRPr="004223BA">
        <w:rPr>
          <w:rFonts w:ascii="Century Schoolbook" w:hAnsi="Century Schoolbook"/>
        </w:rPr>
        <w:lastRenderedPageBreak/>
        <w:t xml:space="preserve">environmental factors may drive the </w:t>
      </w:r>
      <w:r w:rsidRPr="00D20FE8">
        <w:rPr>
          <w:rFonts w:ascii="Century Schoolbook" w:hAnsi="Century Schoolbook"/>
        </w:rPr>
        <w:t>decline</w:t>
      </w:r>
      <w:r w:rsidRPr="004223BA">
        <w:rPr>
          <w:rFonts w:ascii="Century Schoolbook" w:hAnsi="Century Schoolbook"/>
        </w:rPr>
        <w:t xml:space="preserve"> in kidney function over time. Cross-sectional GWAS have identified hundreds of loci for single time-point eGFR, but kidney-function-decline GWAS have been limited by short follow-up and small samples. A scalable, reproducible electronic phenotype (e-phenotype) for eGFR slope derived from electronic health records (EHRs) therefore enables large-scale, longitudinal studies of kidney disease progression.</w:t>
      </w:r>
    </w:p>
    <w:p w14:paraId="495CF9C7" w14:textId="02F43510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This algorithm defines a portable, computable e-phenotype that derives each subject’s chronic eGFR trajectory (eGFR slope) from routinely collected EHR serum creatinine (SCr) measurements. The core design goal is to isolate the </w:t>
      </w:r>
      <w:r w:rsidRPr="00D20FE8">
        <w:rPr>
          <w:rFonts w:ascii="Century Schoolbook" w:hAnsi="Century Schoolbook"/>
        </w:rPr>
        <w:t>chronic</w:t>
      </w:r>
      <w:r w:rsidRPr="004223BA">
        <w:rPr>
          <w:rFonts w:ascii="Century Schoolbook" w:hAnsi="Century Schoolbook"/>
        </w:rPr>
        <w:t xml:space="preserve"> component of kidney-function change by removing noise introduced by acute illness, implausible measurements, and short-term variability, so that the resulting slope reflects meaningful long-term change. The phenotype is intended for cohort selection and as a quantitative trait in genetic and epidemiologic studies of CKD progression, and it has been validated by phenome-wide (</w:t>
      </w:r>
      <w:proofErr w:type="spellStart"/>
      <w:r w:rsidRPr="004223BA">
        <w:rPr>
          <w:rFonts w:ascii="Century Schoolbook" w:hAnsi="Century Schoolbook"/>
        </w:rPr>
        <w:t>PheWAS</w:t>
      </w:r>
      <w:proofErr w:type="spellEnd"/>
      <w:r w:rsidRPr="004223BA">
        <w:rPr>
          <w:rFonts w:ascii="Century Schoolbook" w:hAnsi="Century Schoolbook"/>
        </w:rPr>
        <w:t>) and genome-wide (GWAS) association analyses across multiple biobanks [1].</w:t>
      </w:r>
    </w:p>
    <w:p w14:paraId="0EE7337F" w14:textId="77777777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Key challenges addressed. </w:t>
      </w:r>
      <w:r w:rsidRPr="004223BA">
        <w:rPr>
          <w:rFonts w:ascii="Century Schoolbook" w:hAnsi="Century Schoolbook"/>
        </w:rPr>
        <w:t>The eGFR estimating equation is valid only under steady-state conditions, in the absence of renal replacement therapy or acute kidney injury (AKI) [2,3]. Serum creatinine fluctuates with volume depletion, shock, sepsis, and AKI, and EHR data contain implausible values, irregular sampling, and measurements taken after renal replacement therapy. The algorithm uses a series of biologically informed filters and a defined baseline/termination window to mitigate these issues.</w:t>
      </w:r>
    </w:p>
    <w:p w14:paraId="56AF35B9" w14:textId="77777777" w:rsidR="00985209" w:rsidRPr="004223BA" w:rsidRDefault="001A4F3C">
      <w:pPr>
        <w:pStyle w:val="Heading1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II. Development</w:t>
      </w:r>
    </w:p>
    <w:p w14:paraId="1AACE8F4" w14:textId="20B5791C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The eGFR slope phenotype was developed on structured EHR data using domain knowledge and clinical standards, building on the Columbia University CKD </w:t>
      </w:r>
      <w:r w:rsidR="00801156">
        <w:rPr>
          <w:rFonts w:ascii="Century Schoolbook" w:hAnsi="Century Schoolbook"/>
        </w:rPr>
        <w:t>e-</w:t>
      </w:r>
      <w:r w:rsidRPr="004223BA">
        <w:rPr>
          <w:rFonts w:ascii="Century Schoolbook" w:hAnsi="Century Schoolbook"/>
        </w:rPr>
        <w:t>phenotyp</w:t>
      </w:r>
      <w:r w:rsidR="00801156">
        <w:rPr>
          <w:rFonts w:ascii="Century Schoolbook" w:hAnsi="Century Schoolbook"/>
        </w:rPr>
        <w:t>e</w:t>
      </w:r>
      <w:r w:rsidRPr="004223BA">
        <w:rPr>
          <w:rFonts w:ascii="Century Schoolbook" w:hAnsi="Century Schoolbook"/>
        </w:rPr>
        <w:t xml:space="preserve"> framework.</w:t>
      </w:r>
    </w:p>
    <w:p w14:paraId="76719DF2" w14:textId="54CC4813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The implementation is written as a parameterized and modularized query so that it is portable across diverse EHR systems and terminologies [7]. Code </w:t>
      </w:r>
      <w:r w:rsidR="00E73455">
        <w:rPr>
          <w:rFonts w:ascii="Century Schoolbook" w:hAnsi="Century Schoolbook"/>
        </w:rPr>
        <w:t>dictionary</w:t>
      </w:r>
      <w:r w:rsidRPr="004223BA">
        <w:rPr>
          <w:rFonts w:ascii="Century Schoolbook" w:hAnsi="Century Schoolbook"/>
        </w:rPr>
        <w:t xml:space="preserve"> and schema/table/field names are supplied as parameters and injected at execution time; only the data-extraction block needs site-specific customization.</w:t>
      </w:r>
    </w:p>
    <w:p w14:paraId="7FC54DCA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The reference implementation documented here targets the</w:t>
      </w:r>
      <w:r w:rsidRPr="00E73455">
        <w:rPr>
          <w:rFonts w:ascii="Century Schoolbook" w:hAnsi="Century Schoolbook"/>
        </w:rPr>
        <w:t xml:space="preserve"> OMOP Common Data Model (</w:t>
      </w:r>
      <w:r w:rsidRPr="004223BA">
        <w:rPr>
          <w:rFonts w:ascii="Century Schoolbook" w:hAnsi="Century Schoolbook"/>
        </w:rPr>
        <w:t>standard concept IDs for measurements, conditions, procedures, observations, and visits).</w:t>
      </w:r>
    </w:p>
    <w:p w14:paraId="4F462868" w14:textId="53CB42A3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Validation was performed across multiple large biobanks (</w:t>
      </w:r>
      <w:r w:rsidR="008E48C1">
        <w:rPr>
          <w:rFonts w:ascii="Century Schoolbook" w:hAnsi="Century Schoolbook"/>
        </w:rPr>
        <w:t xml:space="preserve">such as </w:t>
      </w:r>
      <w:proofErr w:type="spellStart"/>
      <w:r w:rsidRPr="004223BA">
        <w:rPr>
          <w:rFonts w:ascii="Century Schoolbook" w:hAnsi="Century Schoolbook"/>
        </w:rPr>
        <w:t>eMERGE</w:t>
      </w:r>
      <w:proofErr w:type="spellEnd"/>
      <w:r w:rsidRPr="004223BA">
        <w:rPr>
          <w:rFonts w:ascii="Century Schoolbook" w:hAnsi="Century Schoolbook"/>
        </w:rPr>
        <w:t xml:space="preserve">-III, the All of Us Research Program). The algorithmically derived slope showed expected associations with CKD and its comorbidities by </w:t>
      </w:r>
      <w:proofErr w:type="spellStart"/>
      <w:r w:rsidRPr="004223BA">
        <w:rPr>
          <w:rFonts w:ascii="Century Schoolbook" w:hAnsi="Century Schoolbook"/>
        </w:rPr>
        <w:t>PheWAS</w:t>
      </w:r>
      <w:proofErr w:type="spellEnd"/>
      <w:r w:rsidRPr="004223BA">
        <w:rPr>
          <w:rFonts w:ascii="Century Schoolbook" w:hAnsi="Century Schoolbook"/>
        </w:rPr>
        <w:t xml:space="preserve"> and recovered known kidney-function loci (e.g., UMOD) by GWAS [1].</w:t>
      </w:r>
    </w:p>
    <w:p w14:paraId="0EB2DEE3" w14:textId="5D4BC67F" w:rsidR="00985209" w:rsidRPr="004223BA" w:rsidRDefault="001A4F3C">
      <w:pPr>
        <w:pStyle w:val="Heading1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III. Algorithm Definition (Figure 1)</w:t>
      </w:r>
    </w:p>
    <w:p w14:paraId="7F1D5266" w14:textId="51CE33A3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The algorithm </w:t>
      </w:r>
      <w:r w:rsidR="0064260C">
        <w:rPr>
          <w:rFonts w:ascii="Century Schoolbook" w:hAnsi="Century Schoolbook"/>
        </w:rPr>
        <w:t xml:space="preserve">implementation is </w:t>
      </w:r>
      <w:r w:rsidRPr="004223BA">
        <w:rPr>
          <w:rFonts w:ascii="Century Schoolbook" w:hAnsi="Century Schoolbook"/>
        </w:rPr>
        <w:t xml:space="preserve">summarized in </w:t>
      </w:r>
      <w:r w:rsidRPr="004223BA">
        <w:rPr>
          <w:rFonts w:ascii="Century Schoolbook" w:hAnsi="Century Schoolbook"/>
          <w:b/>
          <w:bCs/>
        </w:rPr>
        <w:t>Figure 1</w:t>
      </w:r>
      <w:r w:rsidRPr="004223BA">
        <w:rPr>
          <w:rFonts w:ascii="Century Schoolbook" w:hAnsi="Century Schoolbook"/>
        </w:rPr>
        <w:t>. Key definitions used throughout are given below.</w:t>
      </w:r>
    </w:p>
    <w:p w14:paraId="22EF0C24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lastRenderedPageBreak/>
        <w:t>Core definitions</w:t>
      </w:r>
    </w:p>
    <w:p w14:paraId="47B188EF" w14:textId="6281A51D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Qualifying (“legit”) eGFR: </w:t>
      </w:r>
      <w:r w:rsidRPr="004223BA">
        <w:rPr>
          <w:rFonts w:ascii="Century Schoolbook" w:hAnsi="Century Schoolbook"/>
        </w:rPr>
        <w:t>an eGFR derived from an adult (≥18 years) SCr measurement that survives all exclusion filters (</w:t>
      </w:r>
      <w:r w:rsidR="00724C9A">
        <w:rPr>
          <w:rFonts w:ascii="Century Schoolbook" w:hAnsi="Century Schoolbook"/>
        </w:rPr>
        <w:t xml:space="preserve">eGFR </w:t>
      </w:r>
      <w:r w:rsidRPr="004223BA">
        <w:rPr>
          <w:rFonts w:ascii="Century Schoolbook" w:hAnsi="Century Schoolbook"/>
        </w:rPr>
        <w:t xml:space="preserve">Filter 1 and </w:t>
      </w:r>
      <w:r w:rsidR="00724C9A">
        <w:rPr>
          <w:rFonts w:ascii="Century Schoolbook" w:hAnsi="Century Schoolbook"/>
        </w:rPr>
        <w:t xml:space="preserve">eGFR </w:t>
      </w:r>
      <w:r w:rsidRPr="004223BA">
        <w:rPr>
          <w:rFonts w:ascii="Century Schoolbook" w:hAnsi="Century Schoolbook"/>
        </w:rPr>
        <w:t>Filter 2).</w:t>
      </w:r>
    </w:p>
    <w:p w14:paraId="00DF1A16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Baseline eGFR: </w:t>
      </w:r>
      <w:r w:rsidRPr="004223BA">
        <w:rPr>
          <w:rFonts w:ascii="Century Schoolbook" w:hAnsi="Century Schoolbook"/>
        </w:rPr>
        <w:t>the highest qualifying eGFR recorded within the first three months after the subject’s first qualifying eGFR.</w:t>
      </w:r>
    </w:p>
    <w:p w14:paraId="09F868A1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Termination eGFR: </w:t>
      </w:r>
      <w:r w:rsidRPr="004223BA">
        <w:rPr>
          <w:rFonts w:ascii="Century Schoolbook" w:hAnsi="Century Schoolbook"/>
        </w:rPr>
        <w:t>the last qualifying eGFR before any termination trigger event; if no trigger event occurs, the latest available qualifying eGFR is used.</w:t>
      </w:r>
    </w:p>
    <w:p w14:paraId="19D2A988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Termination trigger events: </w:t>
      </w:r>
      <w:r w:rsidRPr="004223BA">
        <w:rPr>
          <w:rFonts w:ascii="Century Schoolbook" w:hAnsi="Century Schoolbook"/>
        </w:rPr>
        <w:t>first dialysis, first kidney transplant, first ESRD diagnosis, first eGFR &lt; 15 mL/min/1.73 m², or first eGFR spike.</w:t>
      </w:r>
    </w:p>
    <w:p w14:paraId="41BE787F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eGFR spike: </w:t>
      </w:r>
      <w:r w:rsidRPr="004223BA">
        <w:rPr>
          <w:rFonts w:ascii="Century Schoolbook" w:hAnsi="Century Schoolbook"/>
        </w:rPr>
        <w:t>an increase in eGFR of more than 50% within 24 hours (relative to the lowest qualifying eGFR on the previous day). Spikes likely reflect dialysis missed by procedure codes or recovery from acute illness rather than true long-term trends.</w:t>
      </w:r>
    </w:p>
    <w:p w14:paraId="4321772B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Acute condition (co-occurrence): </w:t>
      </w:r>
      <w:r w:rsidRPr="004223BA">
        <w:rPr>
          <w:rFonts w:ascii="Century Schoolbook" w:hAnsi="Century Schoolbook"/>
        </w:rPr>
        <w:t>AKI, prerenal kidney injury, sepsis, volume depletion, shock, or an ICU visit. An eGFR “co-occurs” with an acute condition if it falls during the condition or within a 14-day window before or after it.</w:t>
      </w:r>
    </w:p>
    <w:p w14:paraId="75E5724D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eGFR slope: </w:t>
      </w:r>
      <w:r w:rsidRPr="004223BA">
        <w:rPr>
          <w:rFonts w:ascii="Century Schoolbook" w:hAnsi="Century Schoolbook"/>
        </w:rPr>
        <w:t>the change in eGFR per year (mL/min/1.73 m² per year).</w:t>
      </w:r>
    </w:p>
    <w:p w14:paraId="7E5EF153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Processing stages</w:t>
      </w:r>
    </w:p>
    <w:p w14:paraId="1B5CF903" w14:textId="77777777" w:rsidR="00985209" w:rsidRPr="004223BA" w:rsidRDefault="001A4F3C">
      <w:pPr>
        <w:pStyle w:val="ListParagraph"/>
        <w:numPr>
          <w:ilvl w:val="0"/>
          <w:numId w:val="3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Extract &amp; clean SCr; calculate eGFR. </w:t>
      </w:r>
      <w:r w:rsidRPr="004223BA">
        <w:rPr>
          <w:rFonts w:ascii="Century Schoolbook" w:hAnsi="Century Schoolbook"/>
        </w:rPr>
        <w:t>Remove SCr = 0; if multiple SCr are recorded at the same minute, keep the maximum value; compute eGFR with the CKD-EPI 2021 (race-free) creatinine equation [2].</w:t>
      </w:r>
    </w:p>
    <w:p w14:paraId="58C9A54E" w14:textId="40F9628C" w:rsidR="00985209" w:rsidRPr="004223BA" w:rsidRDefault="001A4F3C">
      <w:pPr>
        <w:pStyle w:val="ListParagraph"/>
        <w:numPr>
          <w:ilvl w:val="0"/>
          <w:numId w:val="3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eGFR Filter 1 </w:t>
      </w:r>
      <w:r w:rsidR="00166126">
        <w:rPr>
          <w:rFonts w:ascii="Century Schoolbook" w:hAnsi="Century Schoolbook"/>
          <w:b/>
          <w:bCs/>
        </w:rPr>
        <w:t>--</w:t>
      </w:r>
      <w:r w:rsidRPr="004223BA">
        <w:rPr>
          <w:rFonts w:ascii="Century Schoolbook" w:hAnsi="Century Schoolbook"/>
          <w:b/>
          <w:bCs/>
        </w:rPr>
        <w:t xml:space="preserve"> exclude an eGFR if any: </w:t>
      </w:r>
      <w:r w:rsidRPr="004223BA">
        <w:rPr>
          <w:rFonts w:ascii="Century Schoolbook" w:hAnsi="Century Schoolbook"/>
        </w:rPr>
        <w:t>corresponding SCr &lt; 0, eGFR &lt; 0, or eGFR ≥ 175; eGFR age &lt; 18 years; the value falls after the first dialysis, kidney transplant, ESRD, or eGFR &lt; 15 (first permanent kidney injury); or it co-occurs with an acute condition.</w:t>
      </w:r>
    </w:p>
    <w:p w14:paraId="4AD78A89" w14:textId="3D2562C6" w:rsidR="00985209" w:rsidRPr="004223BA" w:rsidRDefault="001A4F3C">
      <w:pPr>
        <w:pStyle w:val="ListParagraph"/>
        <w:numPr>
          <w:ilvl w:val="0"/>
          <w:numId w:val="3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eGFR Filter 2 </w:t>
      </w:r>
      <w:r w:rsidR="00166126">
        <w:rPr>
          <w:rFonts w:ascii="Century Schoolbook" w:hAnsi="Century Schoolbook"/>
          <w:b/>
          <w:bCs/>
        </w:rPr>
        <w:t>--</w:t>
      </w:r>
      <w:r w:rsidRPr="004223BA">
        <w:rPr>
          <w:rFonts w:ascii="Century Schoolbook" w:hAnsi="Century Schoolbook"/>
          <w:b/>
          <w:bCs/>
        </w:rPr>
        <w:t xml:space="preserve"> spike. </w:t>
      </w:r>
      <w:r w:rsidRPr="004223BA">
        <w:rPr>
          <w:rFonts w:ascii="Century Schoolbook" w:hAnsi="Century Schoolbook"/>
        </w:rPr>
        <w:t>Identify the first eGFR spike and exclude all eGFR on or after it.</w:t>
      </w:r>
    </w:p>
    <w:p w14:paraId="49EA8482" w14:textId="77777777" w:rsidR="00985209" w:rsidRPr="004223BA" w:rsidRDefault="001A4F3C">
      <w:pPr>
        <w:pStyle w:val="ListParagraph"/>
        <w:numPr>
          <w:ilvl w:val="0"/>
          <w:numId w:val="3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Determine Baseline and Termination eGFR </w:t>
      </w:r>
      <w:r w:rsidRPr="004223BA">
        <w:rPr>
          <w:rFonts w:ascii="Century Schoolbook" w:hAnsi="Century Schoolbook"/>
        </w:rPr>
        <w:t>from the remaining qualifying eGFR, as defined above.</w:t>
      </w:r>
    </w:p>
    <w:p w14:paraId="44EA47CB" w14:textId="5D23D78E" w:rsidR="00985209" w:rsidRPr="004223BA" w:rsidRDefault="001A4F3C">
      <w:pPr>
        <w:pStyle w:val="ListParagraph"/>
        <w:numPr>
          <w:ilvl w:val="0"/>
          <w:numId w:val="3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eGFR Filter 3 </w:t>
      </w:r>
      <w:r w:rsidR="00166126">
        <w:rPr>
          <w:rFonts w:ascii="Century Schoolbook" w:hAnsi="Century Schoolbook"/>
          <w:b/>
          <w:bCs/>
        </w:rPr>
        <w:t>--</w:t>
      </w:r>
      <w:r w:rsidRPr="004223BA">
        <w:rPr>
          <w:rFonts w:ascii="Century Schoolbook" w:hAnsi="Century Schoolbook"/>
          <w:b/>
          <w:bCs/>
        </w:rPr>
        <w:t xml:space="preserve"> window. </w:t>
      </w:r>
      <w:r w:rsidRPr="004223BA">
        <w:rPr>
          <w:rFonts w:ascii="Century Schoolbook" w:hAnsi="Century Schoolbook"/>
        </w:rPr>
        <w:t>Remove eGFR recorded before the Baseline eGFR or after the Termination eGFR, so only values within the baseline</w:t>
      </w:r>
      <w:r w:rsidR="004674C9">
        <w:rPr>
          <w:rFonts w:ascii="Century Schoolbook" w:hAnsi="Century Schoolbook"/>
        </w:rPr>
        <w:t>-</w:t>
      </w:r>
      <w:r w:rsidRPr="004223BA">
        <w:rPr>
          <w:rFonts w:ascii="Century Schoolbook" w:hAnsi="Century Schoolbook"/>
        </w:rPr>
        <w:t>termination window are retained.</w:t>
      </w:r>
    </w:p>
    <w:p w14:paraId="6AD1050B" w14:textId="0FBAC6A9" w:rsidR="00985209" w:rsidRPr="004223BA" w:rsidRDefault="001A4F3C">
      <w:pPr>
        <w:pStyle w:val="ListParagraph"/>
        <w:numPr>
          <w:ilvl w:val="0"/>
          <w:numId w:val="3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Subject Filter </w:t>
      </w:r>
      <w:r w:rsidR="00166126">
        <w:rPr>
          <w:rFonts w:ascii="Century Schoolbook" w:hAnsi="Century Schoolbook"/>
          <w:b/>
          <w:bCs/>
        </w:rPr>
        <w:t>--</w:t>
      </w:r>
      <w:r w:rsidRPr="004223BA">
        <w:rPr>
          <w:rFonts w:ascii="Century Schoolbook" w:hAnsi="Century Schoolbook"/>
          <w:b/>
          <w:bCs/>
        </w:rPr>
        <w:t xml:space="preserve"> exclude a subject if any: </w:t>
      </w:r>
      <w:r w:rsidRPr="004223BA">
        <w:rPr>
          <w:rFonts w:ascii="Century Schoolbook" w:hAnsi="Century Schoolbook"/>
        </w:rPr>
        <w:t xml:space="preserve">age &lt; 18 years; dialysis, kidney transplant, or ESRD before the first eGFR; first eGFR &lt; 15; first eGFR co-occurs with an acute condition; or follow-up time (Termination minus Baseline) </w:t>
      </w:r>
      <w:r w:rsidR="004528A9" w:rsidRPr="004528A9">
        <w:rPr>
          <w:rFonts w:ascii="Century Schoolbook" w:hAnsi="Century Schoolbook"/>
        </w:rPr>
        <w:t>≤</w:t>
      </w:r>
      <w:r w:rsidRPr="004223BA">
        <w:rPr>
          <w:rFonts w:ascii="Century Schoolbook" w:hAnsi="Century Schoolbook"/>
        </w:rPr>
        <w:t xml:space="preserve"> 1 year.</w:t>
      </w:r>
    </w:p>
    <w:p w14:paraId="6FBB7014" w14:textId="77777777" w:rsidR="00985209" w:rsidRPr="004223BA" w:rsidRDefault="001A4F3C">
      <w:pPr>
        <w:pStyle w:val="ListParagraph"/>
        <w:numPr>
          <w:ilvl w:val="0"/>
          <w:numId w:val="3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Retrieve qualified eGFR and finalize </w:t>
      </w:r>
      <w:r w:rsidRPr="004223BA">
        <w:rPr>
          <w:rFonts w:ascii="Century Schoolbook" w:hAnsi="Century Schoolbook"/>
        </w:rPr>
        <w:t>Baseline and Termination eGFR for each included subject, then compute eGFR slope.</w:t>
      </w:r>
    </w:p>
    <w:p w14:paraId="04C79D7D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eGFR slope models</w:t>
      </w:r>
    </w:p>
    <w:p w14:paraId="78F17F60" w14:textId="77777777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lastRenderedPageBreak/>
        <w:t>Three interchangeable models are provided to estimate the annualized slope from the retained eGFR values:</w:t>
      </w:r>
    </w:p>
    <w:p w14:paraId="63B08434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Model 1 (two-point): </w:t>
      </w:r>
      <w:r w:rsidRPr="004223BA">
        <w:rPr>
          <w:rFonts w:ascii="Century Schoolbook" w:hAnsi="Century Schoolbook"/>
        </w:rPr>
        <w:t>computed directly from the Termination and Baseline eGFR.</w:t>
      </w:r>
    </w:p>
    <w:p w14:paraId="05CCA253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Model 2 (best-fit line): </w:t>
      </w:r>
      <w:r w:rsidRPr="004223BA">
        <w:rPr>
          <w:rFonts w:ascii="Century Schoolbook" w:hAnsi="Century Schoolbook"/>
        </w:rPr>
        <w:t>derived from an ordinary least-squares linear regression of eGFR on time.</w:t>
      </w:r>
    </w:p>
    <w:p w14:paraId="167BFF0E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 xml:space="preserve">Model 3 (mixed model): </w:t>
      </w:r>
      <w:r w:rsidRPr="004223BA">
        <w:rPr>
          <w:rFonts w:ascii="Century Schoolbook" w:hAnsi="Century Schoolbook"/>
        </w:rPr>
        <w:t>derived from a linear mixed-effects model.</w:t>
      </w:r>
    </w:p>
    <w:p w14:paraId="2DF478B4" w14:textId="2289BB88" w:rsidR="00985209" w:rsidRPr="00C17D73" w:rsidRDefault="00985209">
      <w:pPr>
        <w:spacing w:after="120" w:line="276" w:lineRule="auto"/>
        <w:rPr>
          <w:rFonts w:ascii="Century Schoolbook" w:hAnsi="Century Schoolbook"/>
        </w:rPr>
      </w:pPr>
    </w:p>
    <w:p w14:paraId="16C76936" w14:textId="77777777" w:rsidR="00985209" w:rsidRPr="004223BA" w:rsidRDefault="001A4F3C">
      <w:pPr>
        <w:pStyle w:val="Heading1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IV. Implementation</w:t>
      </w:r>
    </w:p>
    <w:p w14:paraId="7B1BEB98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1. Algorithm-related variables</w:t>
      </w:r>
    </w:p>
    <w:p w14:paraId="792A2226" w14:textId="21362AEA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The following structured data elements are extracted into a single staging table (one row per clinical event). Detailed concept codes are provided in the accompanying machine-readable coding file (see Table 1</w:t>
      </w:r>
      <w:r w:rsidR="00772E24">
        <w:rPr>
          <w:rFonts w:ascii="Century Schoolbook" w:hAnsi="Century Schoolbook"/>
        </w:rPr>
        <w:t xml:space="preserve">, </w:t>
      </w:r>
      <w:r w:rsidR="00772E24" w:rsidRPr="00772E24">
        <w:rPr>
          <w:rFonts w:ascii="Century Schoolbook" w:hAnsi="Century Schoolbook"/>
        </w:rPr>
        <w:t>eGFRslope_V4B_DD.txt</w:t>
      </w:r>
      <w:r w:rsidR="00772E24">
        <w:rPr>
          <w:rFonts w:ascii="Century Schoolbook" w:hAnsi="Century Schoolbook"/>
        </w:rPr>
        <w:t xml:space="preserve">, </w:t>
      </w:r>
      <w:proofErr w:type="spellStart"/>
      <w:r w:rsidR="00772E24" w:rsidRPr="00772E24">
        <w:rPr>
          <w:rFonts w:ascii="Century Schoolbook" w:hAnsi="Century Schoolbook"/>
        </w:rPr>
        <w:t>eGFRslope_coding_OMOP.sql</w:t>
      </w:r>
      <w:proofErr w:type="spellEnd"/>
      <w:r w:rsidRPr="004223BA">
        <w:rPr>
          <w:rFonts w:ascii="Century Schoolbook" w:hAnsi="Century Schoolbook"/>
        </w:rPr>
        <w:t>).</w:t>
      </w:r>
    </w:p>
    <w:p w14:paraId="606CF66D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Demographics: birth date (age), sex; death date (for age at last follow-up).</w:t>
      </w:r>
    </w:p>
    <w:p w14:paraId="4F369FB8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Laboratory: serum creatinine (with unit normalization to mg/dL).</w:t>
      </w:r>
    </w:p>
    <w:p w14:paraId="7D9A33CD" w14:textId="3968C663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Conditions / procedures: dialysis, kidney transplant, ESRD; AKI, prerenal kidney injury, sepsis, volume depletion, shock.</w:t>
      </w:r>
    </w:p>
    <w:p w14:paraId="1FC23723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Healthcare setting: ICU visit (from procedures and from visit type/source value).</w:t>
      </w:r>
    </w:p>
    <w:p w14:paraId="78C9F056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2. Serum creatinine extraction and cleaning</w:t>
      </w:r>
    </w:p>
    <w:p w14:paraId="7615FD0A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Pull all SCr measurements and convert every recorded unit to the standard unit mg/dL (e.g., µmol/L × 0.0113; mg/L × 0.1; g/dL × 1000; mmol/L × 18).</w:t>
      </w:r>
    </w:p>
    <w:p w14:paraId="449954C1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Exclude non-positive values (SCr ≤ 0).</w:t>
      </w:r>
    </w:p>
    <w:p w14:paraId="49554E26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Restrict to measurements at age ≥ 18 years.</w:t>
      </w:r>
    </w:p>
    <w:p w14:paraId="68A3E011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De-duplicate within a minute: when multiple SCr exist at the same minute, retain the maximum value (conservative, lower eGFR).</w:t>
      </w:r>
    </w:p>
    <w:p w14:paraId="71D7EB54" w14:textId="52FDBE48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3. eGFR calculation </w:t>
      </w:r>
      <w:r w:rsidR="00645816">
        <w:rPr>
          <w:rFonts w:ascii="Century Schoolbook" w:hAnsi="Century Schoolbook"/>
        </w:rPr>
        <w:t>--</w:t>
      </w:r>
      <w:r w:rsidRPr="004223BA">
        <w:rPr>
          <w:rFonts w:ascii="Century Schoolbook" w:hAnsi="Century Schoolbook"/>
        </w:rPr>
        <w:t xml:space="preserve"> CKD-EPI 2021 (race-free)</w:t>
      </w:r>
    </w:p>
    <w:p w14:paraId="036BD8BA" w14:textId="4CF8AA91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For adults (age ≥ 18), eGFR (mL/min/1.73 m²) is computed with the 2021 CKD-EPI </w:t>
      </w:r>
      <w:r w:rsidR="00D57BC5">
        <w:rPr>
          <w:rFonts w:ascii="Century Schoolbook" w:hAnsi="Century Schoolbook"/>
        </w:rPr>
        <w:t>formula</w:t>
      </w:r>
      <w:r w:rsidR="004F215C">
        <w:rPr>
          <w:rFonts w:ascii="Century Schoolbook" w:hAnsi="Century Schoolbook"/>
        </w:rPr>
        <w:t xml:space="preserve"> [</w:t>
      </w:r>
      <w:r w:rsidR="006A659F">
        <w:rPr>
          <w:rFonts w:ascii="Century Schoolbook" w:hAnsi="Century Schoolbook"/>
        </w:rPr>
        <w:t>8</w:t>
      </w:r>
      <w:r w:rsidR="004F215C">
        <w:rPr>
          <w:rFonts w:ascii="Century Schoolbook" w:hAnsi="Century Schoolbook"/>
        </w:rPr>
        <w:t>]</w:t>
      </w:r>
    </w:p>
    <w:p w14:paraId="5B65F790" w14:textId="4B4E3D10" w:rsidR="00985209" w:rsidRPr="004223BA" w:rsidRDefault="006650CC">
      <w:pPr>
        <w:spacing w:after="100"/>
        <w:jc w:val="center"/>
        <w:rPr>
          <w:rFonts w:ascii="Century Schoolbook" w:hAnsi="Century Schoolbook"/>
        </w:rPr>
      </w:pPr>
      <m:oMathPara>
        <m:oMath>
          <m:r>
            <w:rPr>
              <w:rFonts w:ascii="Cambria Math" w:eastAsia="Consolas" w:hAnsi="Cambria Math" w:cs="Consolas"/>
              <w:sz w:val="20"/>
              <w:szCs w:val="20"/>
            </w:rPr>
            <m:t>eGFR = 142 × min</m:t>
          </m:r>
          <m:sSup>
            <m:sSupPr>
              <m:ctrlPr>
                <w:rPr>
                  <w:rFonts w:ascii="Cambria Math" w:eastAsia="Consolas" w:hAnsi="Cambria Math" w:cs="Consolas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="Consolas" w:hAnsi="Cambria Math" w:cs="Consolas"/>
                  <w:sz w:val="20"/>
                  <w:szCs w:val="20"/>
                </w:rPr>
                <m:t>(</m:t>
              </m:r>
              <m:f>
                <m:fPr>
                  <m:ctrlPr>
                    <w:rPr>
                      <w:rFonts w:ascii="Cambria Math" w:eastAsia="Consolas" w:hAnsi="Cambria Math" w:cs="Consolas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onsolas" w:hAnsi="Cambria Math" w:cs="Consolas"/>
                      <w:sz w:val="20"/>
                      <w:szCs w:val="20"/>
                    </w:rPr>
                    <m:t>SCr</m:t>
                  </m:r>
                </m:num>
                <m:den>
                  <m:r>
                    <w:rPr>
                      <w:rFonts w:ascii="Cambria Math" w:eastAsia="Consolas" w:hAnsi="Cambria Math" w:cs="Consolas"/>
                      <w:sz w:val="20"/>
                      <w:szCs w:val="20"/>
                    </w:rPr>
                    <m:t>κ</m:t>
                  </m:r>
                </m:den>
              </m:f>
              <m:r>
                <w:rPr>
                  <w:rFonts w:ascii="Cambria Math" w:eastAsia="Consolas" w:hAnsi="Cambria Math" w:cs="Consolas"/>
                  <w:sz w:val="20"/>
                  <w:szCs w:val="20"/>
                </w:rPr>
                <m:t>, 1)</m:t>
              </m:r>
            </m:e>
            <m:sup>
              <m:r>
                <w:rPr>
                  <w:rFonts w:ascii="Cambria Math" w:eastAsia="Consolas" w:hAnsi="Cambria Math" w:cs="Consolas"/>
                  <w:sz w:val="20"/>
                  <w:szCs w:val="20"/>
                </w:rPr>
                <m:t>α</m:t>
              </m:r>
            </m:sup>
          </m:sSup>
          <m:r>
            <w:rPr>
              <w:rFonts w:ascii="Cambria Math" w:eastAsia="Consolas" w:hAnsi="Cambria Math" w:cs="Consolas"/>
              <w:sz w:val="20"/>
              <w:szCs w:val="20"/>
            </w:rPr>
            <m:t xml:space="preserve"> ×</m:t>
          </m:r>
          <m:func>
            <m:funcPr>
              <m:ctrlPr>
                <w:rPr>
                  <w:rFonts w:ascii="Cambria Math" w:eastAsia="Consolas" w:hAnsi="Cambria Math" w:cs="Consolas"/>
                  <w:i/>
                  <w:sz w:val="20"/>
                  <w:szCs w:val="2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onsolas" w:hAnsi="Cambria Math" w:cs="Consolas"/>
                  <w:sz w:val="20"/>
                  <w:szCs w:val="20"/>
                </w:rPr>
                <m:t>max</m:t>
              </m:r>
            </m:fName>
            <m:e>
              <m:sSup>
                <m:sSupPr>
                  <m:ctrlPr>
                    <w:rPr>
                      <w:rFonts w:ascii="Cambria Math" w:eastAsia="Consolas" w:hAnsi="Cambria Math" w:cs="Consolas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onsolas" w:hAnsi="Cambria Math" w:cs="Consolas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eastAsia="Consolas" w:hAnsi="Cambria Math" w:cs="Consolas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="Consolas" w:hAnsi="Cambria Math" w:cs="Consolas"/>
                          <w:sz w:val="20"/>
                          <w:szCs w:val="20"/>
                        </w:rPr>
                        <m:t>SCr</m:t>
                      </m:r>
                    </m:num>
                    <m:den>
                      <m:r>
                        <w:rPr>
                          <w:rFonts w:ascii="Cambria Math" w:eastAsia="Consolas" w:hAnsi="Cambria Math" w:cs="Consolas"/>
                          <w:sz w:val="20"/>
                          <w:szCs w:val="20"/>
                        </w:rPr>
                        <m:t>κ</m:t>
                      </m:r>
                    </m:den>
                  </m:f>
                  <m:r>
                    <w:rPr>
                      <w:rFonts w:ascii="Cambria Math" w:eastAsia="Consolas" w:hAnsi="Cambria Math" w:cs="Consolas"/>
                      <w:sz w:val="20"/>
                      <w:szCs w:val="20"/>
                    </w:rPr>
                    <m:t>, 1)</m:t>
                  </m:r>
                </m:e>
                <m:sup>
                  <m:r>
                    <w:rPr>
                      <w:rFonts w:ascii="Cambria Math" w:eastAsia="Consolas" w:hAnsi="Cambria Math" w:cs="Consolas"/>
                      <w:sz w:val="20"/>
                      <w:szCs w:val="20"/>
                    </w:rPr>
                    <m:t>-1.200</m:t>
                  </m:r>
                </m:sup>
              </m:sSup>
            </m:e>
          </m:func>
          <m:r>
            <w:rPr>
              <w:rFonts w:ascii="Cambria Math" w:eastAsia="Consolas" w:hAnsi="Cambria Math" w:cs="Consolas"/>
              <w:sz w:val="20"/>
              <w:szCs w:val="20"/>
            </w:rPr>
            <m:t xml:space="preserve"> × </m:t>
          </m:r>
          <m:sSup>
            <m:sSupPr>
              <m:ctrlPr>
                <w:rPr>
                  <w:rFonts w:ascii="Cambria Math" w:eastAsia="Consolas" w:hAnsi="Cambria Math" w:cs="Consolas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="Consolas" w:hAnsi="Cambria Math" w:cs="Consolas"/>
                  <w:sz w:val="20"/>
                  <w:szCs w:val="20"/>
                </w:rPr>
                <m:t>0.9938</m:t>
              </m:r>
            </m:e>
            <m:sup>
              <m:r>
                <w:rPr>
                  <w:rFonts w:ascii="Cambria Math" w:eastAsia="Consolas" w:hAnsi="Cambria Math" w:cs="Consolas"/>
                  <w:sz w:val="20"/>
                  <w:szCs w:val="20"/>
                </w:rPr>
                <m:t>Age</m:t>
              </m:r>
            </m:sup>
          </m:sSup>
          <m:r>
            <w:rPr>
              <w:rFonts w:ascii="Cambria Math" w:eastAsia="Consolas" w:hAnsi="Cambria Math" w:cs="Consolas"/>
              <w:sz w:val="20"/>
              <w:szCs w:val="20"/>
            </w:rPr>
            <m:t xml:space="preserve"> × 1.012 </m:t>
          </m:r>
          <m:r>
            <m:rPr>
              <m:nor/>
            </m:rPr>
            <w:rPr>
              <w:rFonts w:ascii="Cambria Math" w:eastAsia="Consolas" w:hAnsi="Cambria Math" w:cs="Consolas"/>
              <w:sz w:val="20"/>
              <w:szCs w:val="20"/>
            </w:rPr>
            <m:t>[if female]</m:t>
          </m:r>
        </m:oMath>
      </m:oMathPara>
    </w:p>
    <w:p w14:paraId="71D73EA7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SCr in mg/dL; Age in years at measurement.</w:t>
      </w:r>
    </w:p>
    <w:p w14:paraId="698B89B9" w14:textId="7BA757B3" w:rsidR="00985209" w:rsidRPr="004223BA" w:rsidRDefault="001B40F8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m:oMath>
        <m:r>
          <w:rPr>
            <w:rFonts w:ascii="Cambria Math" w:eastAsia="Consolas" w:hAnsi="Cambria Math" w:cs="Consolas"/>
            <w:sz w:val="20"/>
            <w:szCs w:val="20"/>
          </w:rPr>
          <m:t>κ</m:t>
        </m:r>
      </m:oMath>
      <w:r w:rsidR="001A4F3C" w:rsidRPr="004223BA">
        <w:rPr>
          <w:rFonts w:ascii="Century Schoolbook" w:hAnsi="Century Schoolbook"/>
        </w:rPr>
        <w:t xml:space="preserve"> = 0.7 for females, 0.9 for males.</w:t>
      </w:r>
    </w:p>
    <w:p w14:paraId="292F5E31" w14:textId="03D5F8D7" w:rsidR="00985209" w:rsidRPr="004223BA" w:rsidRDefault="001B40F8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m:oMath>
        <m:r>
          <w:rPr>
            <w:rFonts w:ascii="Cambria Math" w:eastAsia="Consolas" w:hAnsi="Cambria Math" w:cs="Consolas"/>
            <w:sz w:val="20"/>
            <w:szCs w:val="20"/>
          </w:rPr>
          <m:t>α</m:t>
        </m:r>
      </m:oMath>
      <w:r w:rsidR="001A4F3C" w:rsidRPr="004223BA">
        <w:rPr>
          <w:rFonts w:ascii="Century Schoolbook" w:hAnsi="Century Schoolbook"/>
        </w:rPr>
        <w:t xml:space="preserve"> = −0.241 for females, −0.302 for males.</w:t>
      </w:r>
    </w:p>
    <w:p w14:paraId="193D4B6E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The sex multiplier 1.012 is applied for females only (1 for males).</w:t>
      </w:r>
    </w:p>
    <w:p w14:paraId="51390476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4. eGFR Filter 1 (per-value exclusions)</w:t>
      </w:r>
    </w:p>
    <w:p w14:paraId="136D00C1" w14:textId="77777777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lastRenderedPageBreak/>
        <w:t>Each eGFR receives an exclusion reason if it meets any of the following:</w:t>
      </w:r>
    </w:p>
    <w:p w14:paraId="57C2B671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Possible data error: SCr &lt; 0, eGFR &lt; 0, or eGFR ≥ 175.</w:t>
      </w:r>
    </w:p>
    <w:p w14:paraId="63DDEE15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Age at measurement &lt; 18 years.</w:t>
      </w:r>
    </w:p>
    <w:p w14:paraId="54037E15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On or after the </w:t>
      </w:r>
      <w:r w:rsidRPr="004223BA">
        <w:rPr>
          <w:rFonts w:ascii="Century Schoolbook" w:hAnsi="Century Schoolbook"/>
          <w:b/>
          <w:bCs/>
        </w:rPr>
        <w:t>first permanent kidney injury</w:t>
      </w:r>
      <w:r w:rsidRPr="004223BA">
        <w:rPr>
          <w:rFonts w:ascii="Century Schoolbook" w:hAnsi="Century Schoolbook"/>
        </w:rPr>
        <w:t>, defined as the earliest of dialysis, kidney transplant, other ESRD (diagnosis or procedure), or eGFR &lt; 15.</w:t>
      </w:r>
    </w:p>
    <w:p w14:paraId="2508DF65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Co-occurs with an acute condition (AKI, prerenal kidney injury, sepsis, volume depletion, shock, or ICU visit) within a 14-day window or during the condition.</w:t>
      </w:r>
    </w:p>
    <w:p w14:paraId="606EF184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5. eGFR Filter 2 (spike)</w:t>
      </w:r>
    </w:p>
    <w:p w14:paraId="1B344E44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Among qualifying (Filter-1-passing) eGFR, compare each value to qualifying eGFR on the previous day (0 &lt; gap ≤ 1 day), using the minimum previous value.</w:t>
      </w:r>
    </w:p>
    <w:p w14:paraId="40AB3D1A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Relative change = (eGFR − previous eGFR) / previous eGFR; flag as a spike if ≥ 0.50 (50%).</w:t>
      </w:r>
    </w:p>
    <w:p w14:paraId="0453E358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Identify the first spike per subject and exclude all eGFR on or after that index.</w:t>
      </w:r>
    </w:p>
    <w:p w14:paraId="214552BB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6. Baseline and Termination eGFR</w:t>
      </w:r>
    </w:p>
    <w:p w14:paraId="7B838667" w14:textId="070E75DC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Baseline eGFR: among qualifying eGFR within 0</w:t>
      </w:r>
      <w:r w:rsidR="004674C9">
        <w:rPr>
          <w:rFonts w:ascii="Century Schoolbook" w:hAnsi="Century Schoolbook"/>
        </w:rPr>
        <w:t>-</w:t>
      </w:r>
      <w:r w:rsidRPr="004223BA">
        <w:rPr>
          <w:rFonts w:ascii="Century Schoolbook" w:hAnsi="Century Schoolbook"/>
        </w:rPr>
        <w:t>3 months after the first qualifying eGFR, take the highest (ties broken by earliest index).</w:t>
      </w:r>
    </w:p>
    <w:p w14:paraId="7FC81FA4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Termination trigger: the earliest of first permanent kidney injury (ESRD / eGFR &lt; 15) or first eGFR spike.</w:t>
      </w:r>
    </w:p>
    <w:p w14:paraId="3B72CB18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Termination eGFR: for subjects with a trigger, the last qualifying eGFR before the trigger date and after the baseline; for subjects without a trigger, the latest qualifying eGFR after the baseline.</w:t>
      </w:r>
    </w:p>
    <w:p w14:paraId="3DE61C94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7. eGFR Filter 3 (window) and Subject Filter</w:t>
      </w:r>
    </w:p>
    <w:p w14:paraId="3FE330D5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Filter 3 removes any eGFR before the Baseline or after the Termination eGFR.</w:t>
      </w:r>
    </w:p>
    <w:p w14:paraId="09D537C5" w14:textId="77777777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Subject Filter excludes a subject for: age &lt; 18; dialysis/transplant/ESRD before the first eGFR; first eGFR &lt; 15; first eGFR co-occurring with an acute condition; or follow-up (baseline-to-termination) &lt; 12 months.</w:t>
      </w:r>
    </w:p>
    <w:p w14:paraId="53C9329E" w14:textId="77777777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8. eGFR slope computation</w:t>
      </w:r>
    </w:p>
    <w:p w14:paraId="68A7BE1F" w14:textId="77777777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  <w:b/>
          <w:bCs/>
        </w:rPr>
        <w:t>Model 1 (two-point)</w:t>
      </w:r>
      <w:r w:rsidRPr="004223BA">
        <w:rPr>
          <w:rFonts w:ascii="Century Schoolbook" w:hAnsi="Century Schoolbook"/>
        </w:rPr>
        <w:t xml:space="preserve"> is computed as:</w:t>
      </w:r>
    </w:p>
    <w:p w14:paraId="0635AC98" w14:textId="77777777" w:rsidR="00985209" w:rsidRPr="004223BA" w:rsidRDefault="001A4F3C">
      <w:pPr>
        <w:spacing w:after="100"/>
        <w:jc w:val="center"/>
        <w:rPr>
          <w:rFonts w:ascii="Century Schoolbook" w:hAnsi="Century Schoolbook"/>
        </w:rPr>
      </w:pPr>
      <w:r w:rsidRPr="004223BA">
        <w:rPr>
          <w:rFonts w:ascii="Century Schoolbook" w:eastAsia="Consolas" w:hAnsi="Century Schoolbook" w:cs="Consolas"/>
          <w:sz w:val="20"/>
          <w:szCs w:val="20"/>
        </w:rPr>
        <w:t>eGFR slope = (Termination eGFR − Baseline eGFR) / (Time in years)</w:t>
      </w:r>
    </w:p>
    <w:p w14:paraId="542AE3F6" w14:textId="77777777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where Time in years = (termination age in days − baseline age in days) / 365.25. </w:t>
      </w:r>
      <w:r w:rsidRPr="004223BA">
        <w:rPr>
          <w:rFonts w:ascii="Century Schoolbook" w:hAnsi="Century Schoolbook"/>
          <w:i/>
          <w:iCs/>
        </w:rPr>
        <w:t>Models 2 and 3 use all retained within-window eGFR values via linear regression and linear mixed-effects regression, respectively.</w:t>
      </w:r>
    </w:p>
    <w:p w14:paraId="0C783CAC" w14:textId="71E064EC" w:rsidR="00985209" w:rsidRPr="004223BA" w:rsidRDefault="001A4F3C">
      <w:pPr>
        <w:pStyle w:val="Heading2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9. Parameterized and modularized query</w:t>
      </w:r>
      <w:r w:rsidR="001076F7">
        <w:rPr>
          <w:rFonts w:ascii="Century Schoolbook" w:hAnsi="Century Schoolbook"/>
        </w:rPr>
        <w:t xml:space="preserve"> (</w:t>
      </w:r>
      <w:proofErr w:type="spellStart"/>
      <w:r w:rsidR="001076F7" w:rsidRPr="001076F7">
        <w:rPr>
          <w:rFonts w:ascii="Century Schoolbook" w:hAnsi="Century Schoolbook"/>
        </w:rPr>
        <w:t>eGFRslope_QueryTemplate_OMOP.sql</w:t>
      </w:r>
      <w:proofErr w:type="spellEnd"/>
      <w:r w:rsidR="001076F7">
        <w:rPr>
          <w:rFonts w:ascii="Century Schoolbook" w:hAnsi="Century Schoolbook"/>
        </w:rPr>
        <w:t>)</w:t>
      </w:r>
    </w:p>
    <w:p w14:paraId="24719148" w14:textId="2AE8E96C" w:rsidR="00F05252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lastRenderedPageBreak/>
        <w:t xml:space="preserve">The implementation is organized into modular SQL blocks. The first block interacts directly with the source </w:t>
      </w:r>
      <w:r w:rsidR="00556276" w:rsidRPr="004223BA">
        <w:rPr>
          <w:rFonts w:ascii="Century Schoolbook" w:hAnsi="Century Schoolbook"/>
        </w:rPr>
        <w:t>database</w:t>
      </w:r>
      <w:r w:rsidR="0079408D">
        <w:rPr>
          <w:rFonts w:ascii="Century Schoolbook" w:hAnsi="Century Schoolbook"/>
        </w:rPr>
        <w:t xml:space="preserve"> (e.g.</w:t>
      </w:r>
      <w:r w:rsidR="00556276">
        <w:rPr>
          <w:rFonts w:ascii="Century Schoolbook" w:hAnsi="Century Schoolbook"/>
        </w:rPr>
        <w:t xml:space="preserve">, </w:t>
      </w:r>
      <w:r w:rsidRPr="004223BA">
        <w:rPr>
          <w:rFonts w:ascii="Century Schoolbook" w:hAnsi="Century Schoolbook"/>
        </w:rPr>
        <w:t>OMOP</w:t>
      </w:r>
      <w:r w:rsidR="00556276">
        <w:rPr>
          <w:rFonts w:ascii="Century Schoolbook" w:hAnsi="Century Schoolbook"/>
        </w:rPr>
        <w:t xml:space="preserve"> CDM</w:t>
      </w:r>
      <w:r w:rsidR="0079408D">
        <w:rPr>
          <w:rFonts w:ascii="Century Schoolbook" w:hAnsi="Century Schoolbook"/>
        </w:rPr>
        <w:t>)</w:t>
      </w:r>
      <w:r w:rsidR="00556276">
        <w:rPr>
          <w:rFonts w:ascii="Century Schoolbook" w:hAnsi="Century Schoolbook"/>
        </w:rPr>
        <w:t xml:space="preserve"> and</w:t>
      </w:r>
      <w:r w:rsidRPr="004223BA">
        <w:rPr>
          <w:rFonts w:ascii="Century Schoolbook" w:hAnsi="Century Schoolbook"/>
        </w:rPr>
        <w:t xml:space="preserve"> extract</w:t>
      </w:r>
      <w:r w:rsidR="0079408D">
        <w:rPr>
          <w:rFonts w:ascii="Century Schoolbook" w:hAnsi="Century Schoolbook"/>
        </w:rPr>
        <w:t>s</w:t>
      </w:r>
      <w:r w:rsidR="00315F41">
        <w:rPr>
          <w:rFonts w:ascii="Century Schoolbook" w:hAnsi="Century Schoolbook"/>
        </w:rPr>
        <w:t xml:space="preserve"> the required</w:t>
      </w:r>
      <w:r w:rsidRPr="004223BA">
        <w:rPr>
          <w:rFonts w:ascii="Century Schoolbook" w:hAnsi="Century Schoolbook"/>
        </w:rPr>
        <w:t xml:space="preserve"> data </w:t>
      </w:r>
      <w:r w:rsidR="00315F41">
        <w:rPr>
          <w:rFonts w:ascii="Century Schoolbook" w:hAnsi="Century Schoolbook"/>
        </w:rPr>
        <w:t xml:space="preserve">elements </w:t>
      </w:r>
      <w:r w:rsidRPr="004223BA">
        <w:rPr>
          <w:rFonts w:ascii="Century Schoolbook" w:hAnsi="Century Schoolbook"/>
        </w:rPr>
        <w:t>into temporary tables</w:t>
      </w:r>
      <w:r w:rsidR="00315F41">
        <w:rPr>
          <w:rFonts w:ascii="Century Schoolbook" w:hAnsi="Century Schoolbook"/>
        </w:rPr>
        <w:t>.</w:t>
      </w:r>
      <w:r w:rsidRPr="004223BA">
        <w:rPr>
          <w:rFonts w:ascii="Century Schoolbook" w:hAnsi="Century Schoolbook"/>
        </w:rPr>
        <w:t xml:space="preserve"> </w:t>
      </w:r>
      <w:r w:rsidR="00315F41">
        <w:rPr>
          <w:rFonts w:ascii="Century Schoolbook" w:hAnsi="Century Schoolbook"/>
        </w:rPr>
        <w:t>S</w:t>
      </w:r>
      <w:r w:rsidRPr="004223BA">
        <w:rPr>
          <w:rFonts w:ascii="Century Schoolbook" w:hAnsi="Century Schoolbook"/>
        </w:rPr>
        <w:t xml:space="preserve">ubsequent blocks operate </w:t>
      </w:r>
      <w:r w:rsidR="009B1360">
        <w:rPr>
          <w:rFonts w:ascii="Century Schoolbook" w:hAnsi="Century Schoolbook"/>
        </w:rPr>
        <w:t>exclusively</w:t>
      </w:r>
      <w:r w:rsidRPr="004223BA">
        <w:rPr>
          <w:rFonts w:ascii="Century Schoolbook" w:hAnsi="Century Schoolbook"/>
        </w:rPr>
        <w:t xml:space="preserve"> on th</w:t>
      </w:r>
      <w:r w:rsidR="009B1360">
        <w:rPr>
          <w:rFonts w:ascii="Century Schoolbook" w:hAnsi="Century Schoolbook"/>
        </w:rPr>
        <w:t>e</w:t>
      </w:r>
      <w:r w:rsidRPr="004223BA">
        <w:rPr>
          <w:rFonts w:ascii="Century Schoolbook" w:hAnsi="Century Schoolbook"/>
        </w:rPr>
        <w:t>se temporary tables. Each site customize</w:t>
      </w:r>
      <w:r w:rsidR="009B1360">
        <w:rPr>
          <w:rFonts w:ascii="Century Schoolbook" w:hAnsi="Century Schoolbook"/>
        </w:rPr>
        <w:t>s</w:t>
      </w:r>
      <w:r w:rsidRPr="004223BA">
        <w:rPr>
          <w:rFonts w:ascii="Century Schoolbook" w:hAnsi="Century Schoolbook"/>
        </w:rPr>
        <w:t xml:space="preserve"> the extraction block for its </w:t>
      </w:r>
      <w:r w:rsidR="00293CEF">
        <w:rPr>
          <w:rFonts w:ascii="Century Schoolbook" w:hAnsi="Century Schoolbook"/>
        </w:rPr>
        <w:t xml:space="preserve">local </w:t>
      </w:r>
      <w:r w:rsidRPr="004223BA">
        <w:rPr>
          <w:rFonts w:ascii="Century Schoolbook" w:hAnsi="Century Schoolbook"/>
        </w:rPr>
        <w:t>schema</w:t>
      </w:r>
      <w:r w:rsidR="00293CEF">
        <w:rPr>
          <w:rFonts w:ascii="Century Schoolbook" w:hAnsi="Century Schoolbook"/>
        </w:rPr>
        <w:t>, vocabulary</w:t>
      </w:r>
      <w:r w:rsidR="00024089">
        <w:rPr>
          <w:rFonts w:ascii="Century Schoolbook" w:hAnsi="Century Schoolbook"/>
        </w:rPr>
        <w:t xml:space="preserve"> mappings</w:t>
      </w:r>
      <w:r w:rsidR="00293CEF">
        <w:rPr>
          <w:rFonts w:ascii="Century Schoolbook" w:hAnsi="Century Schoolbook"/>
        </w:rPr>
        <w:t>,</w:t>
      </w:r>
      <w:r w:rsidRPr="004223BA">
        <w:rPr>
          <w:rFonts w:ascii="Century Schoolbook" w:hAnsi="Century Schoolbook"/>
        </w:rPr>
        <w:t xml:space="preserve"> and </w:t>
      </w:r>
      <w:r w:rsidR="00293CEF">
        <w:rPr>
          <w:rFonts w:ascii="Century Schoolbook" w:hAnsi="Century Schoolbook"/>
        </w:rPr>
        <w:t>coding para</w:t>
      </w:r>
      <w:r w:rsidR="00F05252">
        <w:rPr>
          <w:rFonts w:ascii="Century Schoolbook" w:hAnsi="Century Schoolbook"/>
        </w:rPr>
        <w:t xml:space="preserve">meters while preserving the downstream </w:t>
      </w:r>
      <w:r w:rsidR="00661C2A">
        <w:rPr>
          <w:rFonts w:ascii="Century Schoolbook" w:hAnsi="Century Schoolbook"/>
        </w:rPr>
        <w:t>analytic</w:t>
      </w:r>
      <w:r w:rsidR="00F05252">
        <w:rPr>
          <w:rFonts w:ascii="Century Schoolbook" w:hAnsi="Century Schoolbook"/>
        </w:rPr>
        <w:t xml:space="preserve"> logic.</w:t>
      </w:r>
    </w:p>
    <w:p w14:paraId="7BBC3FF6" w14:textId="40379C2D" w:rsidR="00985209" w:rsidRDefault="00D80207">
      <w:pPr>
        <w:spacing w:after="120" w:line="276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The query is designed to separate data extraction, phenotype derivation, quality</w:t>
      </w:r>
      <w:r w:rsidR="00661C2A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control filtering, and slope calculation into independent modules. This st</w:t>
      </w:r>
      <w:r w:rsidR="00B47BDB">
        <w:rPr>
          <w:rFonts w:ascii="Century Schoolbook" w:hAnsi="Century Schoolbook"/>
        </w:rPr>
        <w:t xml:space="preserve">ructure facilitates adaptation across institutions and data models, improves maintainability, and </w:t>
      </w:r>
      <w:r w:rsidR="009623DA">
        <w:rPr>
          <w:rFonts w:ascii="Century Schoolbook" w:hAnsi="Century Schoolbook"/>
        </w:rPr>
        <w:t xml:space="preserve">allows local sites to modify source-specific code without affecting the core phenotype algorithm. </w:t>
      </w:r>
    </w:p>
    <w:p w14:paraId="31F07251" w14:textId="067036E0" w:rsidR="001133B9" w:rsidRDefault="00FF26CC" w:rsidP="001133B9">
      <w:pPr>
        <w:spacing w:after="120" w:line="276" w:lineRule="auto"/>
        <w:rPr>
          <w:rFonts w:ascii="Century Schoolbook" w:hAnsi="Century Schoolbook"/>
        </w:rPr>
      </w:pPr>
      <w:r w:rsidRPr="00FF26CC">
        <w:rPr>
          <w:rFonts w:ascii="Century Schoolbook" w:hAnsi="Century Schoolbook"/>
        </w:rPr>
        <w:t xml:space="preserve">The reference implementation follows a standardized sequence of modules </w:t>
      </w:r>
      <w:r w:rsidR="00602465">
        <w:rPr>
          <w:rFonts w:ascii="Century Schoolbook" w:hAnsi="Century Schoolbook"/>
        </w:rPr>
        <w:t xml:space="preserve">corresponding to the </w:t>
      </w:r>
      <w:r w:rsidRPr="00FF26CC">
        <w:rPr>
          <w:rFonts w:ascii="Century Schoolbook" w:hAnsi="Century Schoolbook"/>
        </w:rPr>
        <w:t xml:space="preserve">algorithm </w:t>
      </w:r>
      <w:r w:rsidR="000613B0">
        <w:rPr>
          <w:rFonts w:ascii="Century Schoolbook" w:hAnsi="Century Schoolbook"/>
        </w:rPr>
        <w:t xml:space="preserve">steps described </w:t>
      </w:r>
      <w:r w:rsidRPr="00FF26CC">
        <w:rPr>
          <w:rFonts w:ascii="Century Schoolbook" w:hAnsi="Century Schoolbook"/>
        </w:rPr>
        <w:t>above.</w:t>
      </w:r>
      <w:r>
        <w:rPr>
          <w:rFonts w:ascii="Century Schoolbook" w:hAnsi="Century Schoolbook"/>
        </w:rPr>
        <w:t xml:space="preserve"> </w:t>
      </w:r>
    </w:p>
    <w:p w14:paraId="11933C9B" w14:textId="77777777" w:rsidR="00FF26CC" w:rsidRPr="001133B9" w:rsidRDefault="00FF26CC" w:rsidP="001133B9">
      <w:pPr>
        <w:spacing w:after="120" w:line="276" w:lineRule="auto"/>
        <w:rPr>
          <w:rFonts w:ascii="Century Schoolbook" w:hAnsi="Century Schoolbook"/>
        </w:rPr>
      </w:pPr>
    </w:p>
    <w:p w14:paraId="41419AA4" w14:textId="338BC57E" w:rsidR="00985209" w:rsidRPr="004223BA" w:rsidRDefault="001A4F3C">
      <w:pPr>
        <w:pStyle w:val="Heading1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V. Collection of </w:t>
      </w:r>
      <w:r w:rsidR="00D705BE">
        <w:rPr>
          <w:rFonts w:ascii="Century Schoolbook" w:hAnsi="Century Schoolbook"/>
        </w:rPr>
        <w:t>V</w:t>
      </w:r>
      <w:r w:rsidRPr="004223BA">
        <w:rPr>
          <w:rFonts w:ascii="Century Schoolbook" w:hAnsi="Century Schoolbook"/>
        </w:rPr>
        <w:t>aria</w:t>
      </w:r>
      <w:r w:rsidR="00D705BE">
        <w:rPr>
          <w:rFonts w:ascii="Century Schoolbook" w:hAnsi="Century Schoolbook"/>
        </w:rPr>
        <w:t>bles</w:t>
      </w:r>
    </w:p>
    <w:p w14:paraId="0CD66856" w14:textId="1BAA6F02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The following </w:t>
      </w:r>
      <w:r w:rsidR="00D705BE">
        <w:rPr>
          <w:rFonts w:ascii="Century Schoolbook" w:hAnsi="Century Schoolbook"/>
        </w:rPr>
        <w:t>variables</w:t>
      </w:r>
      <w:r w:rsidRPr="004223BA">
        <w:rPr>
          <w:rFonts w:ascii="Century Schoolbook" w:hAnsi="Century Schoolbook"/>
        </w:rPr>
        <w:t xml:space="preserve"> are collected alongside the phenotype output </w:t>
      </w:r>
      <w:r w:rsidR="00D705BE">
        <w:rPr>
          <w:rFonts w:ascii="Century Schoolbook" w:hAnsi="Century Schoolbook"/>
        </w:rPr>
        <w:t>to facilitate</w:t>
      </w:r>
      <w:r w:rsidRPr="004223BA">
        <w:rPr>
          <w:rFonts w:ascii="Century Schoolbook" w:hAnsi="Century Schoolbook"/>
        </w:rPr>
        <w:t xml:space="preserve"> downstream analyses:</w:t>
      </w:r>
    </w:p>
    <w:p w14:paraId="4292F8D2" w14:textId="31DC9EA6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Baseline eGFR and Termination eGFR (values and </w:t>
      </w:r>
      <w:r w:rsidR="00D705BE">
        <w:rPr>
          <w:rFonts w:ascii="Century Schoolbook" w:hAnsi="Century Schoolbook"/>
        </w:rPr>
        <w:t xml:space="preserve">corresponding </w:t>
      </w:r>
      <w:r w:rsidRPr="004223BA">
        <w:rPr>
          <w:rFonts w:ascii="Century Schoolbook" w:hAnsi="Century Schoolbook"/>
        </w:rPr>
        <w:t>dates/ages).</w:t>
      </w:r>
    </w:p>
    <w:p w14:paraId="1B605EF7" w14:textId="5E47693A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Follow-up time and number of qualifying eGFR</w:t>
      </w:r>
      <w:r w:rsidR="00D705BE">
        <w:rPr>
          <w:rFonts w:ascii="Century Schoolbook" w:hAnsi="Century Schoolbook"/>
        </w:rPr>
        <w:t xml:space="preserve"> measurements</w:t>
      </w:r>
      <w:r w:rsidRPr="004223BA">
        <w:rPr>
          <w:rFonts w:ascii="Century Schoolbook" w:hAnsi="Century Schoolbook"/>
        </w:rPr>
        <w:t>.</w:t>
      </w:r>
    </w:p>
    <w:p w14:paraId="5B27F8EE" w14:textId="13572921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eGFR slope </w:t>
      </w:r>
      <w:r w:rsidR="00D705BE">
        <w:rPr>
          <w:rFonts w:ascii="Century Schoolbook" w:hAnsi="Century Schoolbook"/>
        </w:rPr>
        <w:t xml:space="preserve">estimates </w:t>
      </w:r>
      <w:r w:rsidRPr="004223BA">
        <w:rPr>
          <w:rFonts w:ascii="Century Schoolbook" w:hAnsi="Century Schoolbook"/>
        </w:rPr>
        <w:t>(Model 1; optional Models 2</w:t>
      </w:r>
      <w:r w:rsidR="004674C9">
        <w:rPr>
          <w:rFonts w:ascii="Century Schoolbook" w:hAnsi="Century Schoolbook"/>
        </w:rPr>
        <w:t>-</w:t>
      </w:r>
      <w:r w:rsidRPr="004223BA">
        <w:rPr>
          <w:rFonts w:ascii="Century Schoolbook" w:hAnsi="Century Schoolbook"/>
        </w:rPr>
        <w:t>3).</w:t>
      </w:r>
    </w:p>
    <w:p w14:paraId="27859C14" w14:textId="758790F4" w:rsidR="00985209" w:rsidRPr="004223BA" w:rsidRDefault="001A4F3C">
      <w:pPr>
        <w:pStyle w:val="ListParagraph"/>
        <w:numPr>
          <w:ilvl w:val="0"/>
          <w:numId w:val="2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Per-</w:t>
      </w:r>
      <w:r w:rsidR="0011473F">
        <w:rPr>
          <w:rFonts w:ascii="Century Schoolbook" w:hAnsi="Century Schoolbook"/>
        </w:rPr>
        <w:t>measurement</w:t>
      </w:r>
      <w:r w:rsidRPr="004223BA">
        <w:rPr>
          <w:rFonts w:ascii="Century Schoolbook" w:hAnsi="Century Schoolbook"/>
        </w:rPr>
        <w:t xml:space="preserve"> exclusion reasons and per-subject inclusion/exclusion status for auditing and quality control</w:t>
      </w:r>
      <w:r w:rsidR="0011473F">
        <w:rPr>
          <w:rFonts w:ascii="Century Schoolbook" w:hAnsi="Century Schoolbook"/>
        </w:rPr>
        <w:t xml:space="preserve"> purposes</w:t>
      </w:r>
      <w:r w:rsidRPr="004223BA">
        <w:rPr>
          <w:rFonts w:ascii="Century Schoolbook" w:hAnsi="Century Schoolbook"/>
        </w:rPr>
        <w:t>.</w:t>
      </w:r>
    </w:p>
    <w:p w14:paraId="26062339" w14:textId="77777777" w:rsidR="00821877" w:rsidRPr="004223BA" w:rsidRDefault="00821877">
      <w:pPr>
        <w:spacing w:after="120" w:line="276" w:lineRule="auto"/>
        <w:rPr>
          <w:rFonts w:ascii="Century Schoolbook" w:hAnsi="Century Schoolbook"/>
        </w:rPr>
      </w:pPr>
    </w:p>
    <w:p w14:paraId="55C0E0A8" w14:textId="77777777" w:rsidR="00985209" w:rsidRPr="004223BA" w:rsidRDefault="001A4F3C">
      <w:pPr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br w:type="page"/>
      </w:r>
    </w:p>
    <w:p w14:paraId="4D7EE80C" w14:textId="6742B3BE" w:rsidR="00A52593" w:rsidRDefault="006D207D" w:rsidP="006D207D">
      <w:pPr>
        <w:spacing w:after="120"/>
        <w:jc w:val="center"/>
        <w:rPr>
          <w:rFonts w:ascii="Century Schoolbook" w:hAnsi="Century Schoolbook"/>
          <w:b/>
          <w:bCs/>
          <w:sz w:val="24"/>
          <w:szCs w:val="24"/>
        </w:rPr>
      </w:pPr>
      <w:r>
        <w:rPr>
          <w:rFonts w:ascii="Century Schoolbook" w:hAnsi="Century Schoolbook"/>
          <w:b/>
          <w:bCs/>
          <w:noProof/>
          <w:sz w:val="24"/>
          <w:szCs w:val="24"/>
        </w:rPr>
        <w:lastRenderedPageBreak/>
        <w:drawing>
          <wp:inline distT="0" distB="0" distL="0" distR="0" wp14:anchorId="04F6724B" wp14:editId="3BEF8EF7">
            <wp:extent cx="4087481" cy="7887694"/>
            <wp:effectExtent l="0" t="0" r="2540" b="0"/>
            <wp:docPr id="6338383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38325" name="Picture 6338383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720" cy="789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5C160" w14:textId="06783B12" w:rsidR="00A52593" w:rsidRPr="006D207D" w:rsidRDefault="00A52593" w:rsidP="00A52593">
      <w:pPr>
        <w:spacing w:after="120"/>
        <w:jc w:val="center"/>
        <w:rPr>
          <w:rFonts w:ascii="Century Schoolbook" w:hAnsi="Century Schoolbook"/>
        </w:rPr>
      </w:pPr>
      <w:r w:rsidRPr="006D207D">
        <w:rPr>
          <w:rFonts w:ascii="Century Schoolbook" w:hAnsi="Century Schoolbook"/>
          <w:b/>
          <w:bCs/>
        </w:rPr>
        <w:t>Figure 1. The eGFR Slope (Renal Function Trajectory) Algorithm</w:t>
      </w:r>
    </w:p>
    <w:p w14:paraId="62DEAB4B" w14:textId="77777777" w:rsidR="00A52593" w:rsidRPr="004223BA" w:rsidRDefault="00A52593" w:rsidP="00A52593">
      <w:pPr>
        <w:rPr>
          <w:rFonts w:ascii="Century Schoolbook" w:hAnsi="Century Schoolbook"/>
        </w:rPr>
      </w:pPr>
    </w:p>
    <w:p w14:paraId="35A09B61" w14:textId="77777777" w:rsidR="00985209" w:rsidRPr="004223BA" w:rsidRDefault="001A4F3C">
      <w:pPr>
        <w:pStyle w:val="Heading1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Table 1. Coding variables used in the algorithm</w:t>
      </w:r>
    </w:p>
    <w:p w14:paraId="6D759BD3" w14:textId="77777777" w:rsidR="00985209" w:rsidRPr="004223BA" w:rsidRDefault="001A4F3C">
      <w:pPr>
        <w:spacing w:after="12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Concept codes are provided in the accompanying machine-readable coding file (</w:t>
      </w:r>
      <w:r w:rsidRPr="004223BA">
        <w:rPr>
          <w:rFonts w:ascii="Century Schoolbook" w:eastAsia="Consolas" w:hAnsi="Century Schoolbook" w:cs="Consolas"/>
          <w:sz w:val="20"/>
          <w:szCs w:val="20"/>
        </w:rPr>
        <w:t>CKD_coding_V5_SqlServer.sql</w:t>
      </w:r>
      <w:r w:rsidRPr="004223BA">
        <w:rPr>
          <w:rFonts w:ascii="Century Schoolbook" w:hAnsi="Century Schoolbook"/>
        </w:rPr>
        <w:t xml:space="preserve"> / coding dictionary). Each coding variable maps a data element to standard OMOP concept IDs; the data-extraction block references these variables by name.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985209" w:rsidRPr="004223BA" w14:paraId="0DFD4635" w14:textId="77777777">
        <w:trPr>
          <w:tblHeader/>
        </w:trPr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3E7D859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b/>
                <w:bCs/>
                <w:sz w:val="20"/>
                <w:szCs w:val="20"/>
              </w:rPr>
              <w:t>Data element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063C15A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b/>
                <w:bCs/>
                <w:sz w:val="20"/>
                <w:szCs w:val="20"/>
              </w:rPr>
              <w:t>Coding variable (OMOP)</w:t>
            </w:r>
          </w:p>
        </w:tc>
      </w:tr>
      <w:tr w:rsidR="00985209" w:rsidRPr="004223BA" w14:paraId="7B1C29D2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87B0EAF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Serum creatinine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EF36F5" w14:textId="77777777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meas.serumCreatinine.omop</w:t>
            </w:r>
            <w:proofErr w:type="spellEnd"/>
            <w:proofErr w:type="gramEnd"/>
          </w:p>
        </w:tc>
      </w:tr>
      <w:tr w:rsidR="00985209" w:rsidRPr="004223BA" w14:paraId="2164C81C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27D4ECF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Dialysis (diagnosis / procedure)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4515DF" w14:textId="77777777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cond.CkdEsrd</w:t>
            </w:r>
            <w:proofErr w:type="gram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_Dialysis.omop</w:t>
            </w:r>
            <w:proofErr w:type="spell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proc.CkdEsrd</w:t>
            </w:r>
            <w:proofErr w:type="gram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_Dialysis.omop</w:t>
            </w:r>
            <w:proofErr w:type="spellEnd"/>
          </w:p>
        </w:tc>
      </w:tr>
      <w:tr w:rsidR="00985209" w:rsidRPr="004223BA" w14:paraId="1C7EA4CC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25D9837" w14:textId="2EE3686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Kidney transplant (d</w:t>
            </w:r>
            <w:r w:rsidR="004F5157">
              <w:rPr>
                <w:rFonts w:ascii="Century Schoolbook" w:hAnsi="Century Schoolbook"/>
                <w:sz w:val="20"/>
                <w:szCs w:val="20"/>
              </w:rPr>
              <w:t>iagnosis</w:t>
            </w:r>
            <w:r w:rsidRPr="004223BA">
              <w:rPr>
                <w:rFonts w:ascii="Century Schoolbook" w:hAnsi="Century Schoolbook"/>
                <w:sz w:val="20"/>
                <w:szCs w:val="20"/>
              </w:rPr>
              <w:t xml:space="preserve"> / proc</w:t>
            </w:r>
            <w:r w:rsidR="004F5157">
              <w:rPr>
                <w:rFonts w:ascii="Century Schoolbook" w:hAnsi="Century Schoolbook"/>
                <w:sz w:val="20"/>
                <w:szCs w:val="20"/>
              </w:rPr>
              <w:t>edure</w:t>
            </w:r>
            <w:r w:rsidRPr="004223BA">
              <w:rPr>
                <w:rFonts w:ascii="Century Schoolbook" w:hAnsi="Century Schoolbook"/>
                <w:sz w:val="20"/>
                <w:szCs w:val="20"/>
              </w:rPr>
              <w:t>)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A538BE" w14:textId="77777777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cond.CkdEsrd</w:t>
            </w:r>
            <w:proofErr w:type="gram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_kidneyTransplant.omop</w:t>
            </w:r>
            <w:proofErr w:type="spell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obsn.CkdEsrd</w:t>
            </w:r>
            <w:proofErr w:type="gram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_kidneyTransplant.omop</w:t>
            </w:r>
            <w:proofErr w:type="spell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proc.CkdEsrd</w:t>
            </w:r>
            <w:proofErr w:type="gram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_kidneyTransplant.omop</w:t>
            </w:r>
            <w:proofErr w:type="spellEnd"/>
          </w:p>
        </w:tc>
      </w:tr>
      <w:tr w:rsidR="00985209" w:rsidRPr="004223BA" w14:paraId="7F24D97D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184DC6F" w14:textId="1294AFD0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ESRD (diagnosi</w:t>
            </w:r>
            <w:r w:rsidR="004F5157">
              <w:rPr>
                <w:rFonts w:ascii="Century Schoolbook" w:hAnsi="Century Schoolbook"/>
                <w:sz w:val="20"/>
                <w:szCs w:val="20"/>
              </w:rPr>
              <w:t>s</w:t>
            </w:r>
            <w:r w:rsidRPr="004223BA">
              <w:rPr>
                <w:rFonts w:ascii="Century Schoolbook" w:hAnsi="Century Schoolbook"/>
                <w:sz w:val="20"/>
                <w:szCs w:val="20"/>
              </w:rPr>
              <w:t>)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1095C40" w14:textId="3A4C2EB2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cond.otherEsrd.omop</w:t>
            </w:r>
            <w:proofErr w:type="spellEnd"/>
            <w:proofErr w:type="gramEnd"/>
          </w:p>
        </w:tc>
      </w:tr>
      <w:tr w:rsidR="00985209" w:rsidRPr="004223BA" w14:paraId="4E4B3B0F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3B8933C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Acute kidney injury (AKI)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AF54455" w14:textId="77777777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cond.aki.omop</w:t>
            </w:r>
            <w:proofErr w:type="spellEnd"/>
            <w:proofErr w:type="gramEnd"/>
          </w:p>
        </w:tc>
      </w:tr>
      <w:tr w:rsidR="00985209" w:rsidRPr="004223BA" w14:paraId="345FF6D1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725818C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Prerenal kidney injury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4E79C32" w14:textId="77777777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cond.prerenalInjury.omop</w:t>
            </w:r>
            <w:proofErr w:type="spellEnd"/>
            <w:proofErr w:type="gramEnd"/>
          </w:p>
        </w:tc>
      </w:tr>
      <w:tr w:rsidR="00985209" w:rsidRPr="004223BA" w14:paraId="7389F3EE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08C82CB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Sepsis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82A1E8" w14:textId="77777777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cond.sepsis</w:t>
            </w:r>
            <w:proofErr w:type="gram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.omop</w:t>
            </w:r>
            <w:proofErr w:type="spellEnd"/>
          </w:p>
        </w:tc>
      </w:tr>
      <w:tr w:rsidR="00985209" w:rsidRPr="004223BA" w14:paraId="0EB80108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E5FE993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Volume depletion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090667A" w14:textId="77777777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cond.volumeDepletion.omop</w:t>
            </w:r>
            <w:proofErr w:type="spellEnd"/>
            <w:proofErr w:type="gramEnd"/>
          </w:p>
        </w:tc>
      </w:tr>
      <w:tr w:rsidR="00985209" w:rsidRPr="004223BA" w14:paraId="08B024DD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40C57EA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Shock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89574D7" w14:textId="77777777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cond.shock</w:t>
            </w:r>
            <w:proofErr w:type="gram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.omop</w:t>
            </w:r>
            <w:proofErr w:type="spellEnd"/>
          </w:p>
        </w:tc>
      </w:tr>
      <w:tr w:rsidR="00985209" w:rsidRPr="004223BA" w14:paraId="0A41EB19" w14:textId="77777777">
        <w:tc>
          <w:tcPr>
            <w:tcW w:w="3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882F412" w14:textId="77777777" w:rsidR="00985209" w:rsidRPr="004223BA" w:rsidRDefault="001A4F3C">
            <w:pPr>
              <w:rPr>
                <w:rFonts w:ascii="Century Schoolbook" w:hAnsi="Century Schoolbook"/>
              </w:rPr>
            </w:pPr>
            <w:r w:rsidRPr="004223BA">
              <w:rPr>
                <w:rFonts w:ascii="Century Schoolbook" w:hAnsi="Century Schoolbook"/>
                <w:sz w:val="20"/>
                <w:szCs w:val="20"/>
              </w:rPr>
              <w:t>ICU visit</w:t>
            </w:r>
          </w:p>
        </w:tc>
        <w:tc>
          <w:tcPr>
            <w:tcW w:w="6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2DA42D1" w14:textId="77777777" w:rsidR="00985209" w:rsidRPr="004223BA" w:rsidRDefault="001A4F3C">
            <w:pPr>
              <w:rPr>
                <w:rFonts w:ascii="Century Schoolbook" w:hAnsi="Century Schoolbook"/>
              </w:rPr>
            </w:pPr>
            <w:proofErr w:type="spellStart"/>
            <w:proofErr w:type="gramStart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>proc.ICUvisit.omop</w:t>
            </w:r>
            <w:proofErr w:type="spellEnd"/>
            <w:proofErr w:type="gramEnd"/>
            <w:r w:rsidRPr="004223BA">
              <w:rPr>
                <w:rFonts w:ascii="Century Schoolbook" w:eastAsia="Consolas" w:hAnsi="Century Schoolbook" w:cs="Consolas"/>
                <w:sz w:val="18"/>
                <w:szCs w:val="18"/>
              </w:rPr>
              <w:t xml:space="preserve"> (plus site-specific visit type / source value)</w:t>
            </w:r>
          </w:p>
        </w:tc>
      </w:tr>
    </w:tbl>
    <w:p w14:paraId="1DE4E724" w14:textId="6B9E1C8D" w:rsidR="00985209" w:rsidRPr="004223BA" w:rsidRDefault="001A4F3C">
      <w:pPr>
        <w:spacing w:before="120"/>
        <w:rPr>
          <w:rFonts w:ascii="Century Schoolbook" w:hAnsi="Century Schoolbook"/>
        </w:rPr>
      </w:pPr>
      <w:r w:rsidRPr="004223BA">
        <w:rPr>
          <w:rFonts w:ascii="Century Schoolbook" w:hAnsi="Century Schoolbook"/>
          <w:i/>
          <w:iCs/>
        </w:rPr>
        <w:t xml:space="preserve">Note: </w:t>
      </w:r>
      <w:r w:rsidR="00C967FB" w:rsidRPr="00C967FB">
        <w:rPr>
          <w:rFonts w:ascii="Century Schoolbook" w:hAnsi="Century Schoolbook"/>
          <w:i/>
          <w:iCs/>
        </w:rPr>
        <w:t xml:space="preserve">Detailed codes are provided in eGFRslope_V4B_DD.txt. </w:t>
      </w:r>
      <w:r w:rsidR="00C967FB">
        <w:rPr>
          <w:rFonts w:ascii="Century Schoolbook" w:hAnsi="Century Schoolbook"/>
          <w:i/>
          <w:iCs/>
        </w:rPr>
        <w:t>S</w:t>
      </w:r>
      <w:r w:rsidRPr="004223BA">
        <w:rPr>
          <w:rFonts w:ascii="Century Schoolbook" w:hAnsi="Century Schoolbook"/>
          <w:i/>
          <w:iCs/>
        </w:rPr>
        <w:t>ex (</w:t>
      </w:r>
      <w:proofErr w:type="spellStart"/>
      <w:r w:rsidRPr="004223BA">
        <w:rPr>
          <w:rFonts w:ascii="Century Schoolbook" w:hAnsi="Century Schoolbook"/>
          <w:i/>
          <w:iCs/>
        </w:rPr>
        <w:t>gender_concept_id</w:t>
      </w:r>
      <w:proofErr w:type="spellEnd"/>
      <w:r w:rsidRPr="004223BA">
        <w:rPr>
          <w:rFonts w:ascii="Century Schoolbook" w:hAnsi="Century Schoolbook"/>
          <w:i/>
          <w:iCs/>
        </w:rPr>
        <w:t>) and unit normalization (</w:t>
      </w:r>
      <w:proofErr w:type="spellStart"/>
      <w:r w:rsidRPr="004223BA">
        <w:rPr>
          <w:rFonts w:ascii="Century Schoolbook" w:hAnsi="Century Schoolbook"/>
          <w:i/>
          <w:iCs/>
        </w:rPr>
        <w:t>unit_concept_id</w:t>
      </w:r>
      <w:proofErr w:type="spellEnd"/>
      <w:r w:rsidRPr="004223BA">
        <w:rPr>
          <w:rFonts w:ascii="Century Schoolbook" w:hAnsi="Century Schoolbook"/>
          <w:i/>
          <w:iCs/>
        </w:rPr>
        <w:t>) are handled inline in the extraction block. Race is optional and is not used by the 2021 race-free eGFR equation.</w:t>
      </w:r>
    </w:p>
    <w:p w14:paraId="71841E5E" w14:textId="77777777" w:rsidR="00985209" w:rsidRPr="004223BA" w:rsidRDefault="001A4F3C">
      <w:pPr>
        <w:pStyle w:val="Heading1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References</w:t>
      </w:r>
    </w:p>
    <w:p w14:paraId="748DE5FB" w14:textId="3BE36BE5" w:rsidR="00985209" w:rsidRPr="004223BA" w:rsidRDefault="001A4F3C">
      <w:pPr>
        <w:pStyle w:val="ListParagraph"/>
        <w:numPr>
          <w:ilvl w:val="0"/>
          <w:numId w:val="4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>Khan A, Shang N, Hao L, et al. Electronic medical records-enabled genetic studies of kidney disease progression. (</w:t>
      </w:r>
      <w:r w:rsidR="0037332C" w:rsidRPr="004223BA">
        <w:rPr>
          <w:rFonts w:ascii="Century Schoolbook" w:hAnsi="Century Schoolbook"/>
        </w:rPr>
        <w:t>submitted and under review</w:t>
      </w:r>
      <w:r w:rsidRPr="004223BA">
        <w:rPr>
          <w:rFonts w:ascii="Century Schoolbook" w:hAnsi="Century Schoolbook"/>
        </w:rPr>
        <w:t>).</w:t>
      </w:r>
    </w:p>
    <w:p w14:paraId="02BCD116" w14:textId="1AACA3D0" w:rsidR="00985209" w:rsidRPr="004223BA" w:rsidRDefault="001A4F3C">
      <w:pPr>
        <w:pStyle w:val="ListParagraph"/>
        <w:numPr>
          <w:ilvl w:val="0"/>
          <w:numId w:val="4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Inker LA, </w:t>
      </w:r>
      <w:proofErr w:type="spellStart"/>
      <w:r w:rsidRPr="004223BA">
        <w:rPr>
          <w:rFonts w:ascii="Century Schoolbook" w:hAnsi="Century Schoolbook"/>
        </w:rPr>
        <w:t>Eneanya</w:t>
      </w:r>
      <w:proofErr w:type="spellEnd"/>
      <w:r w:rsidRPr="004223BA">
        <w:rPr>
          <w:rFonts w:ascii="Century Schoolbook" w:hAnsi="Century Schoolbook"/>
        </w:rPr>
        <w:t xml:space="preserve"> ND, Coresh J, et al. New Creatinine- and Cystatin C-Based Equations to Estimate GFR without Race. N Engl J Med </w:t>
      </w:r>
      <w:proofErr w:type="gramStart"/>
      <w:r w:rsidRPr="004223BA">
        <w:rPr>
          <w:rFonts w:ascii="Century Schoolbook" w:hAnsi="Century Schoolbook"/>
        </w:rPr>
        <w:t>2021;385:1737</w:t>
      </w:r>
      <w:proofErr w:type="gramEnd"/>
      <w:r w:rsidR="004674C9">
        <w:rPr>
          <w:rFonts w:ascii="Century Schoolbook" w:hAnsi="Century Schoolbook"/>
        </w:rPr>
        <w:t>-</w:t>
      </w:r>
      <w:r w:rsidRPr="004223BA">
        <w:rPr>
          <w:rFonts w:ascii="Century Schoolbook" w:hAnsi="Century Schoolbook"/>
        </w:rPr>
        <w:t>1749.</w:t>
      </w:r>
    </w:p>
    <w:p w14:paraId="20ADF90F" w14:textId="460BCA58" w:rsidR="00985209" w:rsidRPr="004223BA" w:rsidRDefault="001A4F3C">
      <w:pPr>
        <w:pStyle w:val="ListParagraph"/>
        <w:numPr>
          <w:ilvl w:val="0"/>
          <w:numId w:val="4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Levey AS, Stevens LA, Schmid CH, et al. A New Equation to Estimate Glomerular Filtration Rate. Ann Intern Med </w:t>
      </w:r>
      <w:proofErr w:type="gramStart"/>
      <w:r w:rsidRPr="004223BA">
        <w:rPr>
          <w:rFonts w:ascii="Century Schoolbook" w:hAnsi="Century Schoolbook"/>
        </w:rPr>
        <w:t>2009;150:604</w:t>
      </w:r>
      <w:proofErr w:type="gramEnd"/>
      <w:r w:rsidR="004674C9">
        <w:rPr>
          <w:rFonts w:ascii="Century Schoolbook" w:hAnsi="Century Schoolbook"/>
        </w:rPr>
        <w:t>-</w:t>
      </w:r>
      <w:r w:rsidRPr="004223BA">
        <w:rPr>
          <w:rFonts w:ascii="Century Schoolbook" w:hAnsi="Century Schoolbook"/>
        </w:rPr>
        <w:t>612.</w:t>
      </w:r>
    </w:p>
    <w:p w14:paraId="4D38738A" w14:textId="021BA8CE" w:rsidR="00985209" w:rsidRPr="004223BA" w:rsidRDefault="001A4F3C">
      <w:pPr>
        <w:pStyle w:val="ListParagraph"/>
        <w:numPr>
          <w:ilvl w:val="0"/>
          <w:numId w:val="4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Kidney Disease: Improving Global Outcomes (KDIGO) CKD Work Group. KDIGO 2012 Clinical Practice Guideline for the Evaluation and Management of Chronic Kidney Disease. Kidney Int </w:t>
      </w:r>
      <w:proofErr w:type="gramStart"/>
      <w:r w:rsidRPr="004223BA">
        <w:rPr>
          <w:rFonts w:ascii="Century Schoolbook" w:hAnsi="Century Schoolbook"/>
        </w:rPr>
        <w:t>2013;Suppl.</w:t>
      </w:r>
      <w:proofErr w:type="gramEnd"/>
      <w:r w:rsidRPr="004223BA">
        <w:rPr>
          <w:rFonts w:ascii="Century Schoolbook" w:hAnsi="Century Schoolbook"/>
        </w:rPr>
        <w:t>:1</w:t>
      </w:r>
      <w:r w:rsidR="004674C9">
        <w:rPr>
          <w:rFonts w:ascii="Century Schoolbook" w:hAnsi="Century Schoolbook"/>
        </w:rPr>
        <w:t>-</w:t>
      </w:r>
      <w:r w:rsidRPr="004223BA">
        <w:rPr>
          <w:rFonts w:ascii="Century Schoolbook" w:hAnsi="Century Schoolbook"/>
        </w:rPr>
        <w:t>150.</w:t>
      </w:r>
    </w:p>
    <w:p w14:paraId="09B563BB" w14:textId="77777777" w:rsidR="00985209" w:rsidRPr="004223BA" w:rsidRDefault="001A4F3C">
      <w:pPr>
        <w:pStyle w:val="ListParagraph"/>
        <w:numPr>
          <w:ilvl w:val="0"/>
          <w:numId w:val="4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Wang Y, Zhao L, Zhang J, et al. Implications of a Family History of Diabetes and Rapid eGFR Decline in Patients </w:t>
      </w:r>
      <w:proofErr w:type="gramStart"/>
      <w:r w:rsidRPr="004223BA">
        <w:rPr>
          <w:rFonts w:ascii="Century Schoolbook" w:hAnsi="Century Schoolbook"/>
        </w:rPr>
        <w:t>With</w:t>
      </w:r>
      <w:proofErr w:type="gramEnd"/>
      <w:r w:rsidRPr="004223BA">
        <w:rPr>
          <w:rFonts w:ascii="Century Schoolbook" w:hAnsi="Century Schoolbook"/>
        </w:rPr>
        <w:t xml:space="preserve"> Type 2 Diabetes and Biopsy-Proven Diabetic Kidney Disease. Front Endocrinol </w:t>
      </w:r>
      <w:proofErr w:type="gramStart"/>
      <w:r w:rsidRPr="004223BA">
        <w:rPr>
          <w:rFonts w:ascii="Century Schoolbook" w:hAnsi="Century Schoolbook"/>
        </w:rPr>
        <w:t>2019;10:855</w:t>
      </w:r>
      <w:proofErr w:type="gramEnd"/>
      <w:r w:rsidRPr="004223BA">
        <w:rPr>
          <w:rFonts w:ascii="Century Schoolbook" w:hAnsi="Century Schoolbook"/>
        </w:rPr>
        <w:t>.</w:t>
      </w:r>
    </w:p>
    <w:p w14:paraId="0EBFB44F" w14:textId="2D9AB5BB" w:rsidR="00985209" w:rsidRPr="004223BA" w:rsidRDefault="001A4F3C">
      <w:pPr>
        <w:pStyle w:val="ListParagraph"/>
        <w:numPr>
          <w:ilvl w:val="0"/>
          <w:numId w:val="4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lastRenderedPageBreak/>
        <w:t xml:space="preserve">Gorski M, et al. Genetic loci and prioritization of genes for kidney function decline derived from a meta-analysis of 62 longitudinal genome-wide association studies. Kidney Int </w:t>
      </w:r>
      <w:proofErr w:type="gramStart"/>
      <w:r w:rsidRPr="004223BA">
        <w:rPr>
          <w:rFonts w:ascii="Century Schoolbook" w:hAnsi="Century Schoolbook"/>
        </w:rPr>
        <w:t>2022;102:624</w:t>
      </w:r>
      <w:proofErr w:type="gramEnd"/>
      <w:r w:rsidR="004674C9">
        <w:rPr>
          <w:rFonts w:ascii="Century Schoolbook" w:hAnsi="Century Schoolbook"/>
        </w:rPr>
        <w:t>-</w:t>
      </w:r>
      <w:r w:rsidRPr="004223BA">
        <w:rPr>
          <w:rFonts w:ascii="Century Schoolbook" w:hAnsi="Century Schoolbook"/>
        </w:rPr>
        <w:t>639.</w:t>
      </w:r>
    </w:p>
    <w:p w14:paraId="6B74F717" w14:textId="77777777" w:rsidR="00985209" w:rsidRPr="004223BA" w:rsidRDefault="001A4F3C">
      <w:pPr>
        <w:pStyle w:val="ListParagraph"/>
        <w:numPr>
          <w:ilvl w:val="0"/>
          <w:numId w:val="4"/>
        </w:numPr>
        <w:spacing w:after="60" w:line="276" w:lineRule="auto"/>
        <w:rPr>
          <w:rFonts w:ascii="Century Schoolbook" w:hAnsi="Century Schoolbook"/>
        </w:rPr>
      </w:pPr>
      <w:r w:rsidRPr="004223BA">
        <w:rPr>
          <w:rFonts w:ascii="Century Schoolbook" w:hAnsi="Century Schoolbook"/>
        </w:rPr>
        <w:t xml:space="preserve">Shang N, Weng C, </w:t>
      </w:r>
      <w:proofErr w:type="spellStart"/>
      <w:r w:rsidRPr="004223BA">
        <w:rPr>
          <w:rFonts w:ascii="Century Schoolbook" w:hAnsi="Century Schoolbook"/>
        </w:rPr>
        <w:t>Hripcsak</w:t>
      </w:r>
      <w:proofErr w:type="spellEnd"/>
      <w:r w:rsidRPr="004223BA">
        <w:rPr>
          <w:rFonts w:ascii="Century Schoolbook" w:hAnsi="Century Schoolbook"/>
        </w:rPr>
        <w:t xml:space="preserve"> G. A Method for Enhancing the Portability of Electronic Phenotyping Algorithms. AMIA Annu Symp 2016.</w:t>
      </w:r>
    </w:p>
    <w:p w14:paraId="72DE3C4C" w14:textId="1EF0A3C2" w:rsidR="00706C0A" w:rsidRPr="004223BA" w:rsidRDefault="004674C9">
      <w:pPr>
        <w:pStyle w:val="ListParagraph"/>
        <w:numPr>
          <w:ilvl w:val="0"/>
          <w:numId w:val="4"/>
        </w:numPr>
        <w:spacing w:after="60" w:line="276" w:lineRule="auto"/>
        <w:rPr>
          <w:rFonts w:ascii="Century Schoolbook" w:hAnsi="Century Schoolbook"/>
        </w:rPr>
      </w:pPr>
      <w:r w:rsidRPr="004674C9">
        <w:rPr>
          <w:rFonts w:ascii="Century Schoolbook" w:hAnsi="Century Schoolbook"/>
        </w:rPr>
        <w:t xml:space="preserve">Kramer HJ, Jaar BG, Choi MJ, et </w:t>
      </w:r>
      <w:proofErr w:type="gramStart"/>
      <w:r w:rsidRPr="004674C9">
        <w:rPr>
          <w:rFonts w:ascii="Century Schoolbook" w:hAnsi="Century Schoolbook"/>
        </w:rPr>
        <w:t>al,;</w:t>
      </w:r>
      <w:proofErr w:type="gramEnd"/>
      <w:r w:rsidRPr="004674C9">
        <w:rPr>
          <w:rFonts w:ascii="Century Schoolbook" w:hAnsi="Century Schoolbook"/>
        </w:rPr>
        <w:t xml:space="preserve"> National Kidney Foundation Kidney Disease Outcomes Quality Initiative. An Endorsement of the Removal of Race </w:t>
      </w:r>
      <w:proofErr w:type="gramStart"/>
      <w:r w:rsidRPr="004674C9">
        <w:rPr>
          <w:rFonts w:ascii="Century Schoolbook" w:hAnsi="Century Schoolbook"/>
        </w:rPr>
        <w:t>From</w:t>
      </w:r>
      <w:proofErr w:type="gramEnd"/>
      <w:r w:rsidRPr="004674C9">
        <w:rPr>
          <w:rFonts w:ascii="Century Schoolbook" w:hAnsi="Century Schoolbook"/>
        </w:rPr>
        <w:t xml:space="preserve"> GFR Estimation Equations: A Position Statement </w:t>
      </w:r>
      <w:proofErr w:type="gramStart"/>
      <w:r w:rsidRPr="004674C9">
        <w:rPr>
          <w:rFonts w:ascii="Century Schoolbook" w:hAnsi="Century Schoolbook"/>
        </w:rPr>
        <w:t>From</w:t>
      </w:r>
      <w:proofErr w:type="gramEnd"/>
      <w:r w:rsidRPr="004674C9">
        <w:rPr>
          <w:rFonts w:ascii="Century Schoolbook" w:hAnsi="Century Schoolbook"/>
        </w:rPr>
        <w:t xml:space="preserve"> the National Kidney Foundation Kidney Disease Outcomes Quality Initiative. Am J Kidney Dis. 2022;80(6):691-696.</w:t>
      </w:r>
    </w:p>
    <w:sectPr w:rsidR="00706C0A" w:rsidRPr="004223B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B6701"/>
    <w:multiLevelType w:val="hybridMultilevel"/>
    <w:tmpl w:val="F2FA2BA8"/>
    <w:lvl w:ilvl="0" w:tplc="938E28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3F5185B"/>
    <w:multiLevelType w:val="hybridMultilevel"/>
    <w:tmpl w:val="FFE8F926"/>
    <w:lvl w:ilvl="0" w:tplc="C97ADA16">
      <w:start w:val="1"/>
      <w:numFmt w:val="decimal"/>
      <w:lvlText w:val="%1."/>
      <w:lvlJc w:val="left"/>
      <w:pPr>
        <w:ind w:left="600" w:hanging="360"/>
      </w:pPr>
    </w:lvl>
    <w:lvl w:ilvl="1" w:tplc="27AC77E4">
      <w:numFmt w:val="decimal"/>
      <w:lvlText w:val=""/>
      <w:lvlJc w:val="left"/>
    </w:lvl>
    <w:lvl w:ilvl="2" w:tplc="C6AC4276">
      <w:numFmt w:val="decimal"/>
      <w:lvlText w:val=""/>
      <w:lvlJc w:val="left"/>
    </w:lvl>
    <w:lvl w:ilvl="3" w:tplc="F918CC5A">
      <w:numFmt w:val="decimal"/>
      <w:lvlText w:val=""/>
      <w:lvlJc w:val="left"/>
    </w:lvl>
    <w:lvl w:ilvl="4" w:tplc="29F28AA0">
      <w:numFmt w:val="decimal"/>
      <w:lvlText w:val=""/>
      <w:lvlJc w:val="left"/>
    </w:lvl>
    <w:lvl w:ilvl="5" w:tplc="C108E514">
      <w:numFmt w:val="decimal"/>
      <w:lvlText w:val=""/>
      <w:lvlJc w:val="left"/>
    </w:lvl>
    <w:lvl w:ilvl="6" w:tplc="D444AE34">
      <w:numFmt w:val="decimal"/>
      <w:lvlText w:val=""/>
      <w:lvlJc w:val="left"/>
    </w:lvl>
    <w:lvl w:ilvl="7" w:tplc="854E6C56">
      <w:numFmt w:val="decimal"/>
      <w:lvlText w:val=""/>
      <w:lvlJc w:val="left"/>
    </w:lvl>
    <w:lvl w:ilvl="8" w:tplc="88CCA298">
      <w:numFmt w:val="decimal"/>
      <w:lvlText w:val=""/>
      <w:lvlJc w:val="left"/>
    </w:lvl>
  </w:abstractNum>
  <w:abstractNum w:abstractNumId="2" w15:restartNumberingAfterBreak="0">
    <w:nsid w:val="2C5D2C88"/>
    <w:multiLevelType w:val="hybridMultilevel"/>
    <w:tmpl w:val="18E43E0A"/>
    <w:lvl w:ilvl="0" w:tplc="6A883C98">
      <w:start w:val="1"/>
      <w:numFmt w:val="decimal"/>
      <w:lvlText w:val="%1."/>
      <w:lvlJc w:val="left"/>
      <w:pPr>
        <w:ind w:left="600" w:hanging="360"/>
      </w:pPr>
    </w:lvl>
    <w:lvl w:ilvl="1" w:tplc="F83CAAD4">
      <w:numFmt w:val="decimal"/>
      <w:lvlText w:val=""/>
      <w:lvlJc w:val="left"/>
    </w:lvl>
    <w:lvl w:ilvl="2" w:tplc="1374CA28">
      <w:numFmt w:val="decimal"/>
      <w:lvlText w:val=""/>
      <w:lvlJc w:val="left"/>
    </w:lvl>
    <w:lvl w:ilvl="3" w:tplc="DFC4E6D2">
      <w:numFmt w:val="decimal"/>
      <w:lvlText w:val=""/>
      <w:lvlJc w:val="left"/>
    </w:lvl>
    <w:lvl w:ilvl="4" w:tplc="B3A2D4B0">
      <w:numFmt w:val="decimal"/>
      <w:lvlText w:val=""/>
      <w:lvlJc w:val="left"/>
    </w:lvl>
    <w:lvl w:ilvl="5" w:tplc="07C6A366">
      <w:numFmt w:val="decimal"/>
      <w:lvlText w:val=""/>
      <w:lvlJc w:val="left"/>
    </w:lvl>
    <w:lvl w:ilvl="6" w:tplc="EAAC49C4">
      <w:numFmt w:val="decimal"/>
      <w:lvlText w:val=""/>
      <w:lvlJc w:val="left"/>
    </w:lvl>
    <w:lvl w:ilvl="7" w:tplc="72FEF2BC">
      <w:numFmt w:val="decimal"/>
      <w:lvlText w:val=""/>
      <w:lvlJc w:val="left"/>
    </w:lvl>
    <w:lvl w:ilvl="8" w:tplc="C8C47D6E">
      <w:numFmt w:val="decimal"/>
      <w:lvlText w:val=""/>
      <w:lvlJc w:val="left"/>
    </w:lvl>
  </w:abstractNum>
  <w:abstractNum w:abstractNumId="3" w15:restartNumberingAfterBreak="0">
    <w:nsid w:val="2D9F5B60"/>
    <w:multiLevelType w:val="hybridMultilevel"/>
    <w:tmpl w:val="5664BA90"/>
    <w:lvl w:ilvl="0" w:tplc="C2A02482">
      <w:start w:val="1"/>
      <w:numFmt w:val="bullet"/>
      <w:lvlText w:val="•"/>
      <w:lvlJc w:val="left"/>
      <w:pPr>
        <w:ind w:left="720" w:hanging="360"/>
      </w:pPr>
    </w:lvl>
    <w:lvl w:ilvl="1" w:tplc="EEC6C390">
      <w:start w:val="1"/>
      <w:numFmt w:val="bullet"/>
      <w:lvlText w:val="◦"/>
      <w:lvlJc w:val="left"/>
      <w:pPr>
        <w:ind w:left="1440" w:hanging="360"/>
      </w:pPr>
    </w:lvl>
    <w:lvl w:ilvl="2" w:tplc="0DDE4C98">
      <w:numFmt w:val="decimal"/>
      <w:lvlText w:val=""/>
      <w:lvlJc w:val="left"/>
    </w:lvl>
    <w:lvl w:ilvl="3" w:tplc="E8DE1204">
      <w:numFmt w:val="decimal"/>
      <w:lvlText w:val=""/>
      <w:lvlJc w:val="left"/>
    </w:lvl>
    <w:lvl w:ilvl="4" w:tplc="92BCB964">
      <w:numFmt w:val="decimal"/>
      <w:lvlText w:val=""/>
      <w:lvlJc w:val="left"/>
    </w:lvl>
    <w:lvl w:ilvl="5" w:tplc="A66AE432">
      <w:numFmt w:val="decimal"/>
      <w:lvlText w:val=""/>
      <w:lvlJc w:val="left"/>
    </w:lvl>
    <w:lvl w:ilvl="6" w:tplc="D9D8CB9A">
      <w:numFmt w:val="decimal"/>
      <w:lvlText w:val=""/>
      <w:lvlJc w:val="left"/>
    </w:lvl>
    <w:lvl w:ilvl="7" w:tplc="81168EEE">
      <w:numFmt w:val="decimal"/>
      <w:lvlText w:val=""/>
      <w:lvlJc w:val="left"/>
    </w:lvl>
    <w:lvl w:ilvl="8" w:tplc="A606AF62">
      <w:numFmt w:val="decimal"/>
      <w:lvlText w:val=""/>
      <w:lvlJc w:val="left"/>
    </w:lvl>
  </w:abstractNum>
  <w:abstractNum w:abstractNumId="4" w15:restartNumberingAfterBreak="0">
    <w:nsid w:val="319131A2"/>
    <w:multiLevelType w:val="hybridMultilevel"/>
    <w:tmpl w:val="76E80B7C"/>
    <w:lvl w:ilvl="0" w:tplc="C2A02482">
      <w:start w:val="1"/>
      <w:numFmt w:val="bullet"/>
      <w:lvlText w:val="•"/>
      <w:lvlJc w:val="left"/>
      <w:pPr>
        <w:ind w:left="800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3E802E7"/>
    <w:multiLevelType w:val="hybridMultilevel"/>
    <w:tmpl w:val="113A243A"/>
    <w:lvl w:ilvl="0" w:tplc="2C02C674">
      <w:start w:val="1"/>
      <w:numFmt w:val="bullet"/>
      <w:lvlText w:val="●"/>
      <w:lvlJc w:val="left"/>
      <w:pPr>
        <w:ind w:left="720" w:hanging="360"/>
      </w:pPr>
    </w:lvl>
    <w:lvl w:ilvl="1" w:tplc="CEC60DD8">
      <w:start w:val="1"/>
      <w:numFmt w:val="bullet"/>
      <w:lvlText w:val="○"/>
      <w:lvlJc w:val="left"/>
      <w:pPr>
        <w:ind w:left="1440" w:hanging="360"/>
      </w:pPr>
    </w:lvl>
    <w:lvl w:ilvl="2" w:tplc="98B03E76">
      <w:start w:val="1"/>
      <w:numFmt w:val="bullet"/>
      <w:lvlText w:val="■"/>
      <w:lvlJc w:val="left"/>
      <w:pPr>
        <w:ind w:left="2160" w:hanging="360"/>
      </w:pPr>
    </w:lvl>
    <w:lvl w:ilvl="3" w:tplc="9BFA4D74">
      <w:start w:val="1"/>
      <w:numFmt w:val="bullet"/>
      <w:lvlText w:val="●"/>
      <w:lvlJc w:val="left"/>
      <w:pPr>
        <w:ind w:left="2880" w:hanging="360"/>
      </w:pPr>
    </w:lvl>
    <w:lvl w:ilvl="4" w:tplc="ACDE3A34">
      <w:start w:val="1"/>
      <w:numFmt w:val="bullet"/>
      <w:lvlText w:val="○"/>
      <w:lvlJc w:val="left"/>
      <w:pPr>
        <w:ind w:left="3600" w:hanging="360"/>
      </w:pPr>
    </w:lvl>
    <w:lvl w:ilvl="5" w:tplc="3782DFF0">
      <w:start w:val="1"/>
      <w:numFmt w:val="bullet"/>
      <w:lvlText w:val="■"/>
      <w:lvlJc w:val="left"/>
      <w:pPr>
        <w:ind w:left="4320" w:hanging="360"/>
      </w:pPr>
    </w:lvl>
    <w:lvl w:ilvl="6" w:tplc="9BAA56E0">
      <w:start w:val="1"/>
      <w:numFmt w:val="bullet"/>
      <w:lvlText w:val="●"/>
      <w:lvlJc w:val="left"/>
      <w:pPr>
        <w:ind w:left="5040" w:hanging="360"/>
      </w:pPr>
    </w:lvl>
    <w:lvl w:ilvl="7" w:tplc="2FF0943E">
      <w:start w:val="1"/>
      <w:numFmt w:val="bullet"/>
      <w:lvlText w:val="●"/>
      <w:lvlJc w:val="left"/>
      <w:pPr>
        <w:ind w:left="5760" w:hanging="360"/>
      </w:pPr>
    </w:lvl>
    <w:lvl w:ilvl="8" w:tplc="964C893C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4F4123F4"/>
    <w:multiLevelType w:val="hybridMultilevel"/>
    <w:tmpl w:val="1AE8BED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E3664D4"/>
    <w:multiLevelType w:val="hybridMultilevel"/>
    <w:tmpl w:val="C9742148"/>
    <w:lvl w:ilvl="0" w:tplc="04090001">
      <w:start w:val="1"/>
      <w:numFmt w:val="bullet"/>
      <w:lvlText w:val=""/>
      <w:lvlJc w:val="left"/>
      <w:pPr>
        <w:ind w:left="800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46580747">
    <w:abstractNumId w:val="5"/>
    <w:lvlOverride w:ilvl="0">
      <w:startOverride w:val="1"/>
    </w:lvlOverride>
  </w:num>
  <w:num w:numId="2" w16cid:durableId="877009952">
    <w:abstractNumId w:val="3"/>
    <w:lvlOverride w:ilvl="0">
      <w:startOverride w:val="1"/>
    </w:lvlOverride>
  </w:num>
  <w:num w:numId="3" w16cid:durableId="1395618550">
    <w:abstractNumId w:val="2"/>
    <w:lvlOverride w:ilvl="0">
      <w:startOverride w:val="1"/>
    </w:lvlOverride>
  </w:num>
  <w:num w:numId="4" w16cid:durableId="1754398730">
    <w:abstractNumId w:val="1"/>
    <w:lvlOverride w:ilvl="0">
      <w:startOverride w:val="1"/>
    </w:lvlOverride>
  </w:num>
  <w:num w:numId="5" w16cid:durableId="1809933817">
    <w:abstractNumId w:val="6"/>
  </w:num>
  <w:num w:numId="6" w16cid:durableId="1589004694">
    <w:abstractNumId w:val="0"/>
  </w:num>
  <w:num w:numId="7" w16cid:durableId="35744796">
    <w:abstractNumId w:val="3"/>
  </w:num>
  <w:num w:numId="8" w16cid:durableId="1349067746">
    <w:abstractNumId w:val="4"/>
  </w:num>
  <w:num w:numId="9" w16cid:durableId="19230311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oNotDisplayPageBoundaries/>
  <w:displayBackgroundShap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209"/>
    <w:rsid w:val="00005BAD"/>
    <w:rsid w:val="0002312D"/>
    <w:rsid w:val="00024089"/>
    <w:rsid w:val="000613B0"/>
    <w:rsid w:val="001063C0"/>
    <w:rsid w:val="001076F7"/>
    <w:rsid w:val="001133B9"/>
    <w:rsid w:val="0011473F"/>
    <w:rsid w:val="0012645D"/>
    <w:rsid w:val="00166126"/>
    <w:rsid w:val="00186CA0"/>
    <w:rsid w:val="001A4F3C"/>
    <w:rsid w:val="001B40F8"/>
    <w:rsid w:val="002600FB"/>
    <w:rsid w:val="00293CEF"/>
    <w:rsid w:val="002D2CC9"/>
    <w:rsid w:val="002E236C"/>
    <w:rsid w:val="00315F41"/>
    <w:rsid w:val="00337E51"/>
    <w:rsid w:val="0037332C"/>
    <w:rsid w:val="003D3CF8"/>
    <w:rsid w:val="004223BA"/>
    <w:rsid w:val="0044702C"/>
    <w:rsid w:val="004528A9"/>
    <w:rsid w:val="004539FE"/>
    <w:rsid w:val="004674C9"/>
    <w:rsid w:val="004773EF"/>
    <w:rsid w:val="004937BF"/>
    <w:rsid w:val="004A65D8"/>
    <w:rsid w:val="004F215C"/>
    <w:rsid w:val="004F5157"/>
    <w:rsid w:val="004F7B16"/>
    <w:rsid w:val="00511809"/>
    <w:rsid w:val="00556276"/>
    <w:rsid w:val="005C61D1"/>
    <w:rsid w:val="005E4008"/>
    <w:rsid w:val="00602465"/>
    <w:rsid w:val="0064260C"/>
    <w:rsid w:val="00645816"/>
    <w:rsid w:val="00661C2A"/>
    <w:rsid w:val="006650CC"/>
    <w:rsid w:val="006A659F"/>
    <w:rsid w:val="006D207D"/>
    <w:rsid w:val="007057B4"/>
    <w:rsid w:val="00706C0A"/>
    <w:rsid w:val="00724C9A"/>
    <w:rsid w:val="00772E24"/>
    <w:rsid w:val="0079408D"/>
    <w:rsid w:val="00801156"/>
    <w:rsid w:val="00821877"/>
    <w:rsid w:val="008E48C1"/>
    <w:rsid w:val="008E4DC8"/>
    <w:rsid w:val="00914753"/>
    <w:rsid w:val="009623DA"/>
    <w:rsid w:val="00981556"/>
    <w:rsid w:val="00985209"/>
    <w:rsid w:val="009B1360"/>
    <w:rsid w:val="009B6E13"/>
    <w:rsid w:val="009C37D0"/>
    <w:rsid w:val="00A00E86"/>
    <w:rsid w:val="00A0160D"/>
    <w:rsid w:val="00A52593"/>
    <w:rsid w:val="00A95F19"/>
    <w:rsid w:val="00B47BDB"/>
    <w:rsid w:val="00B84990"/>
    <w:rsid w:val="00C17D73"/>
    <w:rsid w:val="00C23DC2"/>
    <w:rsid w:val="00C70860"/>
    <w:rsid w:val="00C8637A"/>
    <w:rsid w:val="00C967FB"/>
    <w:rsid w:val="00D20FE8"/>
    <w:rsid w:val="00D245B9"/>
    <w:rsid w:val="00D57BC5"/>
    <w:rsid w:val="00D705BE"/>
    <w:rsid w:val="00D80207"/>
    <w:rsid w:val="00DB687C"/>
    <w:rsid w:val="00E0601B"/>
    <w:rsid w:val="00E73455"/>
    <w:rsid w:val="00F05252"/>
    <w:rsid w:val="00F601AE"/>
    <w:rsid w:val="00FF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60DC0"/>
  <w15:docId w15:val="{FFC1ECF1-B4E8-F849-9591-9192CE9F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60"/>
      <w:outlineLvl w:val="0"/>
    </w:pPr>
    <w:rPr>
      <w:b/>
      <w:bCs/>
      <w:color w:val="1F3864"/>
      <w:sz w:val="30"/>
      <w:szCs w:val="30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color w:val="2E5496"/>
      <w:sz w:val="25"/>
      <w:szCs w:val="25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E400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A6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65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65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5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0002a9b-0017-404d-97dc-3d3bab09be81}" enabled="0" method="" siteId="{b0002a9b-0017-404d-97dc-3d3bab09be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9</Pages>
  <Words>2215</Words>
  <Characters>12627</Characters>
  <Application>Microsoft Office Word</Application>
  <DocSecurity>0</DocSecurity>
  <Lines>105</Lines>
  <Paragraphs>29</Paragraphs>
  <ScaleCrop>false</ScaleCrop>
  <Company/>
  <LinksUpToDate>false</LinksUpToDate>
  <CharactersWithSpaces>14813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Shang, Ning</cp:lastModifiedBy>
  <cp:revision>76</cp:revision>
  <dcterms:created xsi:type="dcterms:W3CDTF">2026-06-02T15:13:00Z</dcterms:created>
  <dcterms:modified xsi:type="dcterms:W3CDTF">2026-06-11T15:01:00Z</dcterms:modified>
</cp:coreProperties>
</file>